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C17D" w14:textId="24B99338" w:rsidR="0002351D" w:rsidRPr="00C77176" w:rsidRDefault="007B0289" w:rsidP="0002351D">
      <w:pPr>
        <w:spacing w:before="60" w:after="60"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C77176">
        <w:rPr>
          <w:rFonts w:ascii="Arial" w:hAnsi="Arial" w:cs="Arial"/>
          <w:b/>
          <w:sz w:val="32"/>
          <w:szCs w:val="32"/>
        </w:rPr>
        <w:t>Srovnání</w:t>
      </w:r>
      <w:r w:rsidR="00B020C1" w:rsidRPr="00C77176">
        <w:rPr>
          <w:rFonts w:ascii="Arial" w:hAnsi="Arial" w:cs="Arial"/>
          <w:b/>
          <w:sz w:val="32"/>
          <w:szCs w:val="32"/>
        </w:rPr>
        <w:t xml:space="preserve"> návrhu </w:t>
      </w:r>
      <w:r w:rsidR="0002351D" w:rsidRPr="00C77176">
        <w:rPr>
          <w:rFonts w:ascii="Arial" w:hAnsi="Arial" w:cs="Arial"/>
          <w:b/>
          <w:sz w:val="32"/>
          <w:szCs w:val="32"/>
        </w:rPr>
        <w:t>stavebního zákona</w:t>
      </w:r>
      <w:r w:rsidR="00B020C1" w:rsidRPr="00C77176">
        <w:rPr>
          <w:rFonts w:ascii="Arial" w:hAnsi="Arial" w:cs="Arial"/>
          <w:b/>
          <w:sz w:val="32"/>
          <w:szCs w:val="32"/>
        </w:rPr>
        <w:t xml:space="preserve"> pro mezirezortní připomínkové řízení a upraveného návrhu </w:t>
      </w:r>
    </w:p>
    <w:p w14:paraId="24CA3F35" w14:textId="77777777" w:rsidR="0002351D" w:rsidRPr="00C77176" w:rsidRDefault="0002351D" w:rsidP="008D65D9">
      <w:pPr>
        <w:spacing w:before="60" w:after="60" w:line="264" w:lineRule="auto"/>
        <w:rPr>
          <w:rFonts w:ascii="Arial" w:hAnsi="Arial" w:cs="Arial"/>
          <w:sz w:val="20"/>
          <w:szCs w:val="20"/>
        </w:rPr>
      </w:pPr>
    </w:p>
    <w:p w14:paraId="3682B748" w14:textId="71592251" w:rsidR="0002351D" w:rsidRPr="00C77176" w:rsidRDefault="0002351D" w:rsidP="00C77176">
      <w:pPr>
        <w:spacing w:before="60" w:after="60" w:line="264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 xml:space="preserve">Níže uvádíme </w:t>
      </w:r>
      <w:r w:rsidR="00B020C1" w:rsidRPr="00C77176">
        <w:rPr>
          <w:rFonts w:ascii="Arial" w:hAnsi="Arial" w:cs="Arial"/>
          <w:sz w:val="18"/>
          <w:szCs w:val="18"/>
        </w:rPr>
        <w:t xml:space="preserve">srovnání </w:t>
      </w:r>
      <w:r w:rsidRPr="00C77176">
        <w:rPr>
          <w:rFonts w:ascii="Arial" w:hAnsi="Arial" w:cs="Arial"/>
          <w:sz w:val="18"/>
          <w:szCs w:val="18"/>
        </w:rPr>
        <w:t>vybraný</w:t>
      </w:r>
      <w:r w:rsidR="00B020C1" w:rsidRPr="00C77176">
        <w:rPr>
          <w:rFonts w:ascii="Arial" w:hAnsi="Arial" w:cs="Arial"/>
          <w:sz w:val="18"/>
          <w:szCs w:val="18"/>
        </w:rPr>
        <w:t>ch</w:t>
      </w:r>
      <w:r w:rsidRPr="00C77176">
        <w:rPr>
          <w:rFonts w:ascii="Arial" w:hAnsi="Arial" w:cs="Arial"/>
          <w:sz w:val="18"/>
          <w:szCs w:val="18"/>
        </w:rPr>
        <w:t xml:space="preserve"> aspektů návrhu nového stavebního zákona</w:t>
      </w:r>
      <w:r w:rsidR="00B020C1" w:rsidRPr="00C77176">
        <w:rPr>
          <w:rFonts w:ascii="Arial" w:hAnsi="Arial" w:cs="Arial"/>
          <w:sz w:val="18"/>
          <w:szCs w:val="18"/>
        </w:rPr>
        <w:t>, který byl předložen do mezirezortního připomínkového řízení dne 25. 11. 2019 a poslední dostupné verze upraveného návrhu</w:t>
      </w:r>
      <w:r w:rsidRPr="00C77176">
        <w:rPr>
          <w:rFonts w:ascii="Arial" w:hAnsi="Arial" w:cs="Arial"/>
          <w:sz w:val="18"/>
          <w:szCs w:val="18"/>
        </w:rPr>
        <w:t xml:space="preserve"> </w:t>
      </w:r>
      <w:r w:rsidR="00B020C1" w:rsidRPr="00C77176">
        <w:rPr>
          <w:rFonts w:ascii="Arial" w:hAnsi="Arial" w:cs="Arial"/>
          <w:sz w:val="18"/>
          <w:szCs w:val="18"/>
        </w:rPr>
        <w:t>ze d</w:t>
      </w:r>
      <w:r w:rsidRPr="00C77176">
        <w:rPr>
          <w:rFonts w:ascii="Arial" w:hAnsi="Arial" w:cs="Arial"/>
          <w:sz w:val="18"/>
          <w:szCs w:val="18"/>
        </w:rPr>
        <w:t xml:space="preserve">ne </w:t>
      </w:r>
      <w:r w:rsidR="00B020C1" w:rsidRPr="00C77176">
        <w:rPr>
          <w:rFonts w:ascii="Arial" w:hAnsi="Arial" w:cs="Arial"/>
          <w:sz w:val="18"/>
          <w:szCs w:val="18"/>
        </w:rPr>
        <w:t>3</w:t>
      </w:r>
      <w:r w:rsidRPr="00C77176">
        <w:rPr>
          <w:rFonts w:ascii="Arial" w:hAnsi="Arial" w:cs="Arial"/>
          <w:sz w:val="18"/>
          <w:szCs w:val="18"/>
        </w:rPr>
        <w:t xml:space="preserve">. </w:t>
      </w:r>
      <w:r w:rsidR="00B020C1" w:rsidRPr="00C77176">
        <w:rPr>
          <w:rFonts w:ascii="Arial" w:hAnsi="Arial" w:cs="Arial"/>
          <w:sz w:val="18"/>
          <w:szCs w:val="18"/>
        </w:rPr>
        <w:t>4</w:t>
      </w:r>
      <w:r w:rsidRPr="00C77176">
        <w:rPr>
          <w:rFonts w:ascii="Arial" w:hAnsi="Arial" w:cs="Arial"/>
          <w:sz w:val="18"/>
          <w:szCs w:val="18"/>
        </w:rPr>
        <w:t xml:space="preserve">. 2020. Jde vesměs o aspekty, v nichž se </w:t>
      </w:r>
      <w:r w:rsidR="00B020C1" w:rsidRPr="00C77176">
        <w:rPr>
          <w:rFonts w:ascii="Arial" w:hAnsi="Arial" w:cs="Arial"/>
          <w:sz w:val="18"/>
          <w:szCs w:val="18"/>
        </w:rPr>
        <w:t>upravený</w:t>
      </w:r>
      <w:r w:rsidRPr="00C77176">
        <w:rPr>
          <w:rFonts w:ascii="Arial" w:hAnsi="Arial" w:cs="Arial"/>
          <w:sz w:val="18"/>
          <w:szCs w:val="18"/>
        </w:rPr>
        <w:t xml:space="preserve"> návrh zásadním způsobem odchyluje od věcného záměru zákona. </w:t>
      </w:r>
    </w:p>
    <w:p w14:paraId="038678E9" w14:textId="77777777" w:rsidR="00C77176" w:rsidRPr="00C77176" w:rsidRDefault="00C77176" w:rsidP="00C77176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40" w:type="dxa"/>
        <w:tblInd w:w="6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5103"/>
      </w:tblGrid>
      <w:tr w:rsidR="00066F62" w:rsidRPr="00C77176" w14:paraId="6A9AFD6E" w14:textId="6FDDB5BD" w:rsidTr="00C77176">
        <w:trPr>
          <w:trHeight w:val="505"/>
        </w:trPr>
        <w:tc>
          <w:tcPr>
            <w:tcW w:w="5037" w:type="dxa"/>
          </w:tcPr>
          <w:p w14:paraId="68A0599E" w14:textId="05E510D0" w:rsidR="00066F62" w:rsidRPr="00C77176" w:rsidRDefault="00C77176" w:rsidP="009F75A2">
            <w:pPr>
              <w:spacing w:before="60" w:after="60" w:line="264" w:lineRule="auto"/>
              <w:ind w:left="-6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7176">
              <w:rPr>
                <w:rFonts w:ascii="Arial" w:hAnsi="Arial" w:cs="Arial"/>
                <w:b/>
                <w:sz w:val="21"/>
                <w:szCs w:val="21"/>
              </w:rPr>
              <w:t>PŮVODNÍ NÁVRH</w:t>
            </w:r>
          </w:p>
        </w:tc>
        <w:tc>
          <w:tcPr>
            <w:tcW w:w="5103" w:type="dxa"/>
          </w:tcPr>
          <w:p w14:paraId="2791F4D8" w14:textId="062668FE" w:rsidR="00066F62" w:rsidRPr="00C77176" w:rsidRDefault="00C77176" w:rsidP="00066F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7176">
              <w:rPr>
                <w:rFonts w:ascii="Arial" w:hAnsi="Arial" w:cs="Arial"/>
                <w:b/>
                <w:sz w:val="21"/>
                <w:szCs w:val="21"/>
              </w:rPr>
              <w:t>AKTUÁLNÍ NÁVRH</w:t>
            </w:r>
          </w:p>
        </w:tc>
      </w:tr>
      <w:tr w:rsidR="00066F62" w:rsidRPr="00C77176" w14:paraId="3DDF0D5E" w14:textId="77777777" w:rsidTr="00C77176">
        <w:trPr>
          <w:trHeight w:val="505"/>
        </w:trPr>
        <w:tc>
          <w:tcPr>
            <w:tcW w:w="5037" w:type="dxa"/>
          </w:tcPr>
          <w:p w14:paraId="4EE5AD27" w14:textId="345E4D4B" w:rsidR="00C77176" w:rsidRPr="00C77176" w:rsidRDefault="00066F6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Jednotná soustava státní stavební správy</w:t>
            </w:r>
            <w:r w:rsidR="00294113"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 xml:space="preserve">Nejvyšší stavební úřad </w:t>
            </w:r>
            <w:r w:rsidRPr="00C77176">
              <w:rPr>
                <w:rFonts w:ascii="Arial" w:hAnsi="Arial" w:cs="Arial"/>
                <w:sz w:val="20"/>
                <w:szCs w:val="20"/>
              </w:rPr>
              <w:t>(NSÚ</w:t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>)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– krajské stavební úřady </w:t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>(KSÚ) – územní pracoviště KSÚ</w:t>
            </w:r>
            <w:r w:rsidR="00A74519"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74519"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65B29599" w14:textId="5DEC5780" w:rsidR="00066F62" w:rsidRPr="00C77176" w:rsidRDefault="00066F6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přínosy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FE0A54" w14:textId="45619C75" w:rsidR="00066F62" w:rsidRPr="00C77176" w:rsidRDefault="00066F62" w:rsidP="00C77176">
            <w:pPr>
              <w:pStyle w:val="Odstavecseseznamem"/>
              <w:numPr>
                <w:ilvl w:val="0"/>
                <w:numId w:val="19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jednotné řízení, metodické vedení, služební odpovědnost úředníků </w:t>
            </w:r>
          </w:p>
          <w:p w14:paraId="36C458AB" w14:textId="28DBB336" w:rsidR="00294113" w:rsidRPr="00C77176" w:rsidRDefault="00294113" w:rsidP="00C77176">
            <w:pPr>
              <w:pStyle w:val="Odstavecseseznamem"/>
              <w:numPr>
                <w:ilvl w:val="0"/>
                <w:numId w:val="19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možnost „sdílení“ úředních osob v rámci integrovaného rozhodování KSÚ </w:t>
            </w:r>
          </w:p>
          <w:p w14:paraId="3D19EEFF" w14:textId="24FB73D0" w:rsidR="00066F62" w:rsidRPr="00C77176" w:rsidRDefault="00066F62" w:rsidP="00C77176">
            <w:pPr>
              <w:pStyle w:val="Odstavecseseznamem"/>
              <w:numPr>
                <w:ilvl w:val="0"/>
                <w:numId w:val="19"/>
              </w:num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- řešení problému systémové podjatosti</w:t>
            </w:r>
            <w:r w:rsidRPr="00C7717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0778512D" w14:textId="29482521" w:rsidR="00066F62" w:rsidRPr="00C77176" w:rsidRDefault="00294113" w:rsidP="00C7717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Soustava rozdělena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>mezi stavební úřady obcí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rozhodující o většině staveb v 1. stupni 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>a státní stavební správu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tvořenou NSÚ a KSÚ</w:t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>; navíc zřízeny jako speciální samostatné orgány</w:t>
            </w:r>
            <w:r w:rsidR="00D97876" w:rsidRPr="00C77176">
              <w:rPr>
                <w:rFonts w:ascii="Arial" w:hAnsi="Arial" w:cs="Arial"/>
                <w:sz w:val="20"/>
                <w:szCs w:val="20"/>
              </w:rPr>
              <w:t>:</w:t>
            </w:r>
            <w:r w:rsidR="00066F62" w:rsidRPr="00C77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 xml:space="preserve">Ústav územního rozvoje a Specializovaný stavební úřad pro povolování vyhrazených staveb </w:t>
            </w:r>
          </w:p>
          <w:p w14:paraId="2DCEE831" w14:textId="57D44BD5" w:rsidR="00294113" w:rsidRPr="00C77176" w:rsidRDefault="00294113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rizika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CDE901" w14:textId="1A5B063B" w:rsidR="0002351D" w:rsidRPr="00C77176" w:rsidRDefault="00294113" w:rsidP="00C77176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obtížn</w:t>
            </w:r>
            <w:r w:rsidR="00A74519" w:rsidRPr="00C77176">
              <w:rPr>
                <w:rFonts w:ascii="Arial" w:hAnsi="Arial" w:cs="Arial"/>
                <w:sz w:val="18"/>
                <w:szCs w:val="18"/>
              </w:rPr>
              <w:t xml:space="preserve">é </w:t>
            </w:r>
            <w:r w:rsidRPr="00C77176">
              <w:rPr>
                <w:rFonts w:ascii="Arial" w:hAnsi="Arial" w:cs="Arial"/>
                <w:sz w:val="18"/>
                <w:szCs w:val="18"/>
              </w:rPr>
              <w:t>řízení a metodické vedení úředníků obecních stavebních úřadů, rozmělněná odpovědnost</w:t>
            </w:r>
          </w:p>
          <w:p w14:paraId="04C54AD1" w14:textId="307C24A9" w:rsidR="0002351D" w:rsidRPr="00C77176" w:rsidRDefault="00294113" w:rsidP="00C77176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obtížné personální zajištění činnosti SÚ, pokud část úředníků je v pracovním poměru k obcím </w:t>
            </w:r>
          </w:p>
          <w:p w14:paraId="26F270D3" w14:textId="1D2DC571" w:rsidR="00294113" w:rsidRPr="00C77176" w:rsidRDefault="00294113" w:rsidP="00C77176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- trvá problém systémové podjatosti na úrovní obcí </w:t>
            </w:r>
          </w:p>
        </w:tc>
      </w:tr>
      <w:tr w:rsidR="00294113" w:rsidRPr="00C77176" w14:paraId="0656BE64" w14:textId="77777777" w:rsidTr="00C77176">
        <w:trPr>
          <w:trHeight w:val="505"/>
        </w:trPr>
        <w:tc>
          <w:tcPr>
            <w:tcW w:w="5037" w:type="dxa"/>
          </w:tcPr>
          <w:p w14:paraId="13107E4C" w14:textId="1AF56986" w:rsidR="00A95187" w:rsidRPr="00C77176" w:rsidRDefault="00A95187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Integrované rozhodování stavebního úřadu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7176">
              <w:rPr>
                <w:rFonts w:ascii="Arial" w:hAnsi="Arial" w:cs="Arial"/>
                <w:sz w:val="20"/>
                <w:szCs w:val="20"/>
              </w:rPr>
              <w:t>(1 úřad, 1 řízení</w:t>
            </w:r>
            <w:r w:rsidR="00D97876" w:rsidRPr="00C77176">
              <w:rPr>
                <w:rFonts w:ascii="Arial" w:hAnsi="Arial" w:cs="Arial"/>
                <w:sz w:val="20"/>
                <w:szCs w:val="20"/>
              </w:rPr>
              <w:t>, 1 razítko</w:t>
            </w:r>
            <w:r w:rsidRPr="00C7717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C9D477" w14:textId="71387267" w:rsidR="00A95187" w:rsidRPr="00C77176" w:rsidRDefault="00A74519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5187" w:rsidRPr="00C77176">
              <w:rPr>
                <w:rFonts w:ascii="Arial" w:hAnsi="Arial" w:cs="Arial"/>
                <w:b/>
                <w:sz w:val="18"/>
                <w:szCs w:val="18"/>
              </w:rPr>
              <w:t>Hlavní přínosy</w:t>
            </w:r>
            <w:r w:rsidR="00A95187"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54CFCC" w14:textId="4E28EE9D" w:rsidR="00A95187" w:rsidRPr="00C77176" w:rsidRDefault="00A95187" w:rsidP="00C77176">
            <w:pPr>
              <w:pStyle w:val="Odstavecseseznamem"/>
              <w:numPr>
                <w:ilvl w:val="0"/>
                <w:numId w:val="2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komplexní posouzení záměru z hlediska ochrany jednotlivých veřejných zájmů, v případě možnosti uvážení úřadu možnost vzájemného porovnávání jejich významu</w:t>
            </w:r>
          </w:p>
          <w:p w14:paraId="049041E1" w14:textId="27752023" w:rsidR="00A95187" w:rsidRPr="00C77176" w:rsidRDefault="00A95187" w:rsidP="00C77176">
            <w:pPr>
              <w:pStyle w:val="Odstavecseseznamem"/>
              <w:numPr>
                <w:ilvl w:val="0"/>
                <w:numId w:val="2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posouzení všech aspektů záměru se odehrává „uvnitř“ řízení o povolení záměru s možností vyjádření všech účastníků řízení, na něž stavební úřad komplexně reaguje</w:t>
            </w:r>
          </w:p>
          <w:p w14:paraId="0DE3FC86" w14:textId="596E9514" w:rsidR="00A95187" w:rsidRPr="00C77176" w:rsidRDefault="00A95187" w:rsidP="00C77176">
            <w:pPr>
              <w:pStyle w:val="Odstavecseseznamem"/>
              <w:numPr>
                <w:ilvl w:val="0"/>
                <w:numId w:val="2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podmínka zásadního urychlení rozhodování </w:t>
            </w:r>
          </w:p>
          <w:p w14:paraId="7C3589DA" w14:textId="2BE8D58A" w:rsidR="00A95187" w:rsidRPr="00C77176" w:rsidRDefault="00A95187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E3F347" w14:textId="18107DA8" w:rsidR="00294113" w:rsidRPr="00C77176" w:rsidRDefault="00A95187" w:rsidP="00C7717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Princip integrace </w:t>
            </w:r>
            <w:r w:rsidR="00C77176" w:rsidRPr="00C77176">
              <w:rPr>
                <w:rFonts w:ascii="Arial" w:hAnsi="Arial" w:cs="Arial"/>
                <w:b/>
                <w:sz w:val="20"/>
                <w:szCs w:val="20"/>
              </w:rPr>
              <w:t>narušen – není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zřejmé, kolik a jakých „razítek“ bude stavebník potřebovat </w:t>
            </w:r>
          </w:p>
          <w:p w14:paraId="40F89ECB" w14:textId="1D89D9EC" w:rsidR="00A95187" w:rsidRPr="00C77176" w:rsidRDefault="00A74519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5187" w:rsidRPr="00C77176">
              <w:rPr>
                <w:rFonts w:ascii="Arial" w:hAnsi="Arial" w:cs="Arial"/>
                <w:b/>
                <w:sz w:val="18"/>
                <w:szCs w:val="18"/>
              </w:rPr>
              <w:t>Hlavní rizika</w:t>
            </w:r>
            <w:r w:rsidR="00A95187"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873B8C2" w14:textId="319BEACB" w:rsidR="00EB234E" w:rsidRPr="00C77176" w:rsidRDefault="00EB234E" w:rsidP="00C77176">
            <w:pPr>
              <w:pStyle w:val="Odstavecseseznamem"/>
              <w:numPr>
                <w:ilvl w:val="0"/>
                <w:numId w:val="26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z návrhu není zřejmé, které úřady a v jaké formě se budou k ochraně dotčených veřejných zájmů vyjadřovat </w:t>
            </w:r>
          </w:p>
          <w:p w14:paraId="60D47928" w14:textId="0AFDB968" w:rsidR="00EB234E" w:rsidRPr="00C77176" w:rsidRDefault="00EB234E" w:rsidP="00C77176">
            <w:pPr>
              <w:pStyle w:val="Odstavecseseznamem"/>
              <w:numPr>
                <w:ilvl w:val="0"/>
                <w:numId w:val="26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v případě vydávání „koordinovaného závazného stanoviska KSÚ“ pro obecní stavebné úřady jde o narušení standardní hierarchie v rámci soustavy stavebních úřadů – v odvolacím řízení by koordinované stanovisko KSÚ přezkoumával NSÚ, což je i z hlediska role a kapacit ústředního úřadu </w:t>
            </w:r>
            <w:r w:rsidR="00D97876" w:rsidRPr="00C77176">
              <w:rPr>
                <w:rFonts w:ascii="Arial" w:hAnsi="Arial" w:cs="Arial"/>
                <w:sz w:val="18"/>
                <w:szCs w:val="18"/>
              </w:rPr>
              <w:t xml:space="preserve">zcela </w:t>
            </w:r>
            <w:r w:rsidRPr="00C77176">
              <w:rPr>
                <w:rFonts w:ascii="Arial" w:hAnsi="Arial" w:cs="Arial"/>
                <w:sz w:val="18"/>
                <w:szCs w:val="18"/>
              </w:rPr>
              <w:t>nevhodné</w:t>
            </w:r>
          </w:p>
          <w:p w14:paraId="266D3A09" w14:textId="466049C9" w:rsidR="00EB234E" w:rsidRPr="00C77176" w:rsidRDefault="00EB234E" w:rsidP="00C77176">
            <w:pPr>
              <w:pStyle w:val="Odstavecseseznamem"/>
              <w:numPr>
                <w:ilvl w:val="0"/>
                <w:numId w:val="26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pokud zůstanou zachována závazná stanoviska dotčených orgánů v současné podobě, je princip integrace </w:t>
            </w:r>
            <w:r w:rsidR="009F75A2" w:rsidRPr="00C77176">
              <w:rPr>
                <w:rFonts w:ascii="Arial" w:hAnsi="Arial" w:cs="Arial"/>
                <w:sz w:val="18"/>
                <w:szCs w:val="18"/>
              </w:rPr>
              <w:t xml:space="preserve">zcela </w:t>
            </w:r>
            <w:r w:rsidRPr="00C77176">
              <w:rPr>
                <w:rFonts w:ascii="Arial" w:hAnsi="Arial" w:cs="Arial"/>
                <w:sz w:val="18"/>
                <w:szCs w:val="18"/>
              </w:rPr>
              <w:t>opuštěn</w:t>
            </w:r>
          </w:p>
          <w:p w14:paraId="2CF67798" w14:textId="5D137B62" w:rsidR="00A95187" w:rsidRPr="00C77176" w:rsidRDefault="00EB234E" w:rsidP="00C77176">
            <w:pPr>
              <w:pStyle w:val="Odstavecseseznamem"/>
              <w:numPr>
                <w:ilvl w:val="0"/>
                <w:numId w:val="26"/>
              </w:num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- v každém případě se posouzení dotčených veřejných zájmů ocitá opět „mimo řízení“ – účastníci se k nim mohou vyjadřovat až v odvolání</w:t>
            </w:r>
            <w:r w:rsidRPr="00C7717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94113" w:rsidRPr="00C77176" w14:paraId="686333F0" w14:textId="77777777" w:rsidTr="00C77176">
        <w:trPr>
          <w:trHeight w:val="60"/>
        </w:trPr>
        <w:tc>
          <w:tcPr>
            <w:tcW w:w="5037" w:type="dxa"/>
          </w:tcPr>
          <w:p w14:paraId="60034E5C" w14:textId="20E52D8A" w:rsidR="00EB234E" w:rsidRPr="00C77176" w:rsidRDefault="00EB234E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Automatické povolení záměru 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v případě </w:t>
            </w:r>
            <w:r w:rsidR="00ED360F" w:rsidRPr="00C77176">
              <w:rPr>
                <w:rFonts w:ascii="Arial" w:hAnsi="Arial" w:cs="Arial"/>
                <w:sz w:val="20"/>
                <w:szCs w:val="20"/>
              </w:rPr>
              <w:t>nečinnosti stavebního úřadu 1. stupně (</w:t>
            </w:r>
            <w:r w:rsidRPr="00C77176">
              <w:rPr>
                <w:rFonts w:ascii="Arial" w:hAnsi="Arial" w:cs="Arial"/>
                <w:sz w:val="20"/>
                <w:szCs w:val="20"/>
              </w:rPr>
              <w:t>nedodržení lhůty pro vydání rozhodnutí</w:t>
            </w:r>
            <w:r w:rsidR="00ED360F" w:rsidRPr="00C7717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C6DE30" w14:textId="7D86BEA1" w:rsidR="00EB234E" w:rsidRPr="00C77176" w:rsidRDefault="00EB234E" w:rsidP="00C77176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aspekty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B98963" w14:textId="2FD87DCC" w:rsidR="00C77176" w:rsidRDefault="00EB234E" w:rsidP="00C77176">
            <w:pPr>
              <w:pStyle w:val="Odstavecseseznamem"/>
              <w:numPr>
                <w:ilvl w:val="1"/>
                <w:numId w:val="29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jde o sporně vnímaný institut, ale 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>dle</w:t>
            </w:r>
            <w:r w:rsidRPr="00C77176">
              <w:rPr>
                <w:rFonts w:ascii="Arial" w:hAnsi="Arial" w:cs="Arial"/>
                <w:sz w:val="18"/>
                <w:szCs w:val="18"/>
              </w:rPr>
              <w:t xml:space="preserve"> návrhu 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 xml:space="preserve">z 11/2019 </w:t>
            </w:r>
            <w:r w:rsidRPr="00C77176">
              <w:rPr>
                <w:rFonts w:ascii="Arial" w:hAnsi="Arial" w:cs="Arial"/>
                <w:sz w:val="18"/>
                <w:szCs w:val="18"/>
              </w:rPr>
              <w:t>se m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>ělo j</w:t>
            </w:r>
            <w:r w:rsidRPr="00C77176">
              <w:rPr>
                <w:rFonts w:ascii="Arial" w:hAnsi="Arial" w:cs="Arial"/>
                <w:sz w:val="18"/>
                <w:szCs w:val="18"/>
              </w:rPr>
              <w:t>ednat o pojistku v případě excesu stavebního úřadu 1. stupně (nedodržení lhůty), který by měl být následně řešen po služební linii</w:t>
            </w:r>
          </w:p>
          <w:p w14:paraId="4602138D" w14:textId="703671D2" w:rsidR="00294113" w:rsidRPr="00C77176" w:rsidRDefault="008041C1" w:rsidP="00C77176">
            <w:pPr>
              <w:pStyle w:val="Odstavecseseznamem"/>
              <w:numPr>
                <w:ilvl w:val="1"/>
                <w:numId w:val="29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přezkum automatického povolení probíhá jako odvolací nebo přezkumné řízení u nadřízeného orgánu, proti němuž již není další opravný prostředek v rámci správního řízení</w:t>
            </w:r>
          </w:p>
          <w:p w14:paraId="2DCA60FF" w14:textId="77777777" w:rsidR="00EB234E" w:rsidRPr="00C77176" w:rsidRDefault="00EB234E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B25EB" w14:textId="77777777" w:rsidR="00EB234E" w:rsidRPr="00C77176" w:rsidRDefault="00EB234E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C2F99" w14:textId="4F713B70" w:rsidR="00EB234E" w:rsidRPr="00C77176" w:rsidRDefault="00EB234E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B43461" w14:textId="66B2D3DD" w:rsidR="00ED360F" w:rsidRPr="00C77176" w:rsidRDefault="008041C1" w:rsidP="00C77176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Důsledkem nečinnosti stavebního úřadu 1. stupně je změna příslušnosti </w:t>
            </w:r>
            <w:r w:rsidR="00ED360F" w:rsidRPr="00C77176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C771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360F" w:rsidRPr="00C77176">
              <w:rPr>
                <w:rFonts w:ascii="Arial" w:hAnsi="Arial" w:cs="Arial"/>
                <w:sz w:val="18"/>
                <w:szCs w:val="18"/>
              </w:rPr>
              <w:t>přechod pravomoci rozhodnout v 1. stupni na nadřízený úřad</w:t>
            </w:r>
            <w:r w:rsidR="00ED360F" w:rsidRPr="00C77176">
              <w:rPr>
                <w:rFonts w:ascii="Arial" w:hAnsi="Arial" w:cs="Arial"/>
                <w:sz w:val="18"/>
                <w:szCs w:val="18"/>
              </w:rPr>
              <w:br/>
            </w:r>
            <w:r w:rsidR="00E53CD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ED360F" w:rsidRPr="00C77176">
              <w:rPr>
                <w:rFonts w:ascii="Arial" w:hAnsi="Arial" w:cs="Arial"/>
                <w:b/>
                <w:sz w:val="18"/>
                <w:szCs w:val="18"/>
              </w:rPr>
              <w:t>Hlavní rizika</w:t>
            </w:r>
            <w:r w:rsidR="00ED360F"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29BB13" w14:textId="1388429E" w:rsidR="00ED360F" w:rsidRPr="00C77176" w:rsidRDefault="00ED360F" w:rsidP="00C77176">
            <w:pPr>
              <w:pStyle w:val="Odstavecseseznamem"/>
              <w:numPr>
                <w:ilvl w:val="1"/>
                <w:numId w:val="31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je upraveno jako standardní možný postup stavebního úřadu 1. stupně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 xml:space="preserve">, což přináší </w:t>
            </w:r>
            <w:r w:rsidRPr="00C77176">
              <w:rPr>
                <w:rFonts w:ascii="Arial" w:hAnsi="Arial" w:cs="Arial"/>
                <w:sz w:val="18"/>
                <w:szCs w:val="18"/>
              </w:rPr>
              <w:t>možnost zneužití – stavební úřad 1. stupně se takto může zbavit „nepohodlných“ řízení</w:t>
            </w:r>
          </w:p>
          <w:p w14:paraId="0D8FD255" w14:textId="563B8AB0" w:rsidR="009C3AA8" w:rsidRPr="00C77176" w:rsidRDefault="00ED360F" w:rsidP="00C77176">
            <w:pPr>
              <w:pStyle w:val="Odstavecseseznamem"/>
              <w:numPr>
                <w:ilvl w:val="1"/>
                <w:numId w:val="31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vzhledem k neexistenci služebního poměru úředníků obecních stavebních úřadů obtížnější postih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 xml:space="preserve"> za nečinnost</w:t>
            </w:r>
          </w:p>
          <w:p w14:paraId="5A2D26AA" w14:textId="25285CF3" w:rsidR="009C3AA8" w:rsidRPr="00C77176" w:rsidRDefault="009C3AA8" w:rsidP="00C77176">
            <w:pPr>
              <w:pStyle w:val="Odstavecseseznamem"/>
              <w:numPr>
                <w:ilvl w:val="1"/>
                <w:numId w:val="31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riziko zahlcení nadřízených stavebních úřadů (KSÚ)</w:t>
            </w:r>
          </w:p>
          <w:p w14:paraId="117D27C9" w14:textId="09C587E5" w:rsidR="009C3AA8" w:rsidRPr="00C77176" w:rsidRDefault="009C3AA8" w:rsidP="00C77176">
            <w:pPr>
              <w:pStyle w:val="Odstavecseseznamem"/>
              <w:numPr>
                <w:ilvl w:val="1"/>
                <w:numId w:val="31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lastRenderedPageBreak/>
              <w:t xml:space="preserve">řízení se zásadně prodlužuje, protože nadřízený úřad po postoupení věci rozhoduje „od začátku“ jako úřad 1. stupně, proti jehož rozhodnutí je možné odvolání </w:t>
            </w:r>
          </w:p>
          <w:p w14:paraId="705AD9D2" w14:textId="7088819B" w:rsidR="00BE3C71" w:rsidRPr="00C77176" w:rsidRDefault="00BE3C71" w:rsidP="00C77176">
            <w:pPr>
              <w:pStyle w:val="Odstavecseseznamem"/>
              <w:numPr>
                <w:ilvl w:val="0"/>
                <w:numId w:val="30"/>
              </w:numPr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odvolacím orgánem bude v tom případě NSÚ jako ústřední úřad, což je zcela nesystémové a může vést k jeho zahlcení</w:t>
            </w:r>
          </w:p>
        </w:tc>
      </w:tr>
      <w:tr w:rsidR="00ED360F" w:rsidRPr="00C77176" w14:paraId="51DC9FB6" w14:textId="77777777" w:rsidTr="00C77176">
        <w:trPr>
          <w:trHeight w:val="505"/>
        </w:trPr>
        <w:tc>
          <w:tcPr>
            <w:tcW w:w="5037" w:type="dxa"/>
          </w:tcPr>
          <w:p w14:paraId="5B81471F" w14:textId="77777777" w:rsidR="00ED360F" w:rsidRPr="00C77176" w:rsidRDefault="00334D3C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Územní plán může stanovit </w:t>
            </w:r>
            <w:r w:rsidR="00AC695F" w:rsidRPr="00C77176">
              <w:rPr>
                <w:rFonts w:ascii="Arial" w:hAnsi="Arial" w:cs="Arial"/>
                <w:b/>
                <w:sz w:val="20"/>
                <w:szCs w:val="20"/>
              </w:rPr>
              <w:t xml:space="preserve">některé 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>územní požadavky odchylně od prováděcího právního předpisu</w:t>
            </w:r>
          </w:p>
          <w:p w14:paraId="3FADB855" w14:textId="60094FE2" w:rsidR="00AC695F" w:rsidRPr="00C77176" w:rsidRDefault="00AC695F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přínos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9269A6" w14:textId="7D1C974F" w:rsidR="00AC695F" w:rsidRPr="00C77176" w:rsidRDefault="00AC695F" w:rsidP="00C77176">
            <w:pPr>
              <w:pStyle w:val="Odstavecseseznamem"/>
              <w:numPr>
                <w:ilvl w:val="0"/>
                <w:numId w:val="30"/>
              </w:numPr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posílení práva obcí na samosprávu při územním plánování bez nutnosti udělování výjimky v každém jednotlivém případě</w:t>
            </w:r>
          </w:p>
          <w:p w14:paraId="3D5BA72E" w14:textId="62E08CAA" w:rsidR="00AC695F" w:rsidRPr="00C77176" w:rsidRDefault="00AC695F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B3A836" w14:textId="26B676A1" w:rsidR="00AC695F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C695F" w:rsidRPr="00C77176">
              <w:rPr>
                <w:rFonts w:ascii="Arial" w:hAnsi="Arial" w:cs="Arial"/>
                <w:b/>
                <w:sz w:val="20"/>
                <w:szCs w:val="20"/>
              </w:rPr>
              <w:t>ro odchylné řešení v územním plánu vždy nezbytná individuální výjimka</w:t>
            </w:r>
          </w:p>
          <w:p w14:paraId="7576AA36" w14:textId="77777777" w:rsidR="00E53CDF" w:rsidRDefault="00E53CDF" w:rsidP="00C77176">
            <w:pPr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4481EA" w14:textId="77777777" w:rsidR="00AC695F" w:rsidRPr="00C77176" w:rsidRDefault="00AC695F" w:rsidP="00C77176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riziko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297791" w14:textId="1DE671DE" w:rsidR="00ED360F" w:rsidRPr="00C77176" w:rsidRDefault="00AC695F" w:rsidP="00C77176">
            <w:pPr>
              <w:pStyle w:val="Odstavecseseznamem"/>
              <w:numPr>
                <w:ilvl w:val="0"/>
                <w:numId w:val="32"/>
              </w:num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nedostatečná možnost zohlednění o specifického charakteru území a potřeb jednotlivých obcí při územním plánování</w:t>
            </w:r>
          </w:p>
        </w:tc>
      </w:tr>
      <w:tr w:rsidR="00AC695F" w:rsidRPr="00C77176" w14:paraId="156AB8BB" w14:textId="77777777" w:rsidTr="00C77176">
        <w:trPr>
          <w:trHeight w:val="505"/>
        </w:trPr>
        <w:tc>
          <w:tcPr>
            <w:tcW w:w="5037" w:type="dxa"/>
          </w:tcPr>
          <w:p w14:paraId="5F075A3C" w14:textId="2B1F0D48" w:rsidR="00AC695F" w:rsidRPr="00C77176" w:rsidRDefault="000C08C9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Vymezení územních </w:t>
            </w:r>
            <w:r w:rsidR="00CE2C8D" w:rsidRPr="00C77176">
              <w:rPr>
                <w:rFonts w:ascii="Arial" w:hAnsi="Arial" w:cs="Arial"/>
                <w:b/>
                <w:sz w:val="20"/>
                <w:szCs w:val="20"/>
              </w:rPr>
              <w:t>požadavků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 a požadavků</w:t>
            </w:r>
            <w:r w:rsidR="00CE2C8D" w:rsidRPr="00C77176">
              <w:rPr>
                <w:rFonts w:ascii="Arial" w:hAnsi="Arial" w:cs="Arial"/>
                <w:b/>
                <w:sz w:val="20"/>
                <w:szCs w:val="20"/>
              </w:rPr>
              <w:t xml:space="preserve"> na výstavbu jako obecných základních principů </w:t>
            </w:r>
            <w:r w:rsidR="00CE2C8D" w:rsidRPr="00C77176">
              <w:rPr>
                <w:rFonts w:ascii="Arial" w:hAnsi="Arial" w:cs="Arial"/>
                <w:sz w:val="20"/>
                <w:szCs w:val="20"/>
              </w:rPr>
              <w:t>s odkazem na prováděcí právní předpis, od nějž je možné se v odůvodněných případech odchýlit</w:t>
            </w:r>
          </w:p>
          <w:p w14:paraId="381DA42A" w14:textId="77777777" w:rsidR="00CE2C8D" w:rsidRPr="00C77176" w:rsidRDefault="00CE2C8D" w:rsidP="00E53CDF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přínos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2FA47D" w14:textId="6C50A3DB" w:rsidR="00CE2C8D" w:rsidRPr="00C77176" w:rsidRDefault="00CE2C8D" w:rsidP="00C77176">
            <w:pPr>
              <w:pStyle w:val="Odstavecseseznamem"/>
              <w:numPr>
                <w:ilvl w:val="0"/>
                <w:numId w:val="33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srozumitelné vymezení obecných principů a cílů, k jejichž naplnění má územní plánování a povolování staveb směřovat</w:t>
            </w:r>
          </w:p>
          <w:p w14:paraId="1543D0AA" w14:textId="614D4D55" w:rsidR="00CE2C8D" w:rsidRPr="00C77176" w:rsidRDefault="00CE2C8D" w:rsidP="00C77176">
            <w:pPr>
              <w:pStyle w:val="Odstavecseseznamem"/>
              <w:numPr>
                <w:ilvl w:val="0"/>
                <w:numId w:val="33"/>
              </w:num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- zamezení nutnosti měnit zákon kvůli detailním změnám v technických požadavcích </w:t>
            </w:r>
          </w:p>
        </w:tc>
        <w:tc>
          <w:tcPr>
            <w:tcW w:w="5103" w:type="dxa"/>
          </w:tcPr>
          <w:p w14:paraId="4EB940C1" w14:textId="7C1BAA43" w:rsidR="00CE2C8D" w:rsidRPr="00C77176" w:rsidRDefault="000C08C9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Neexistence úpravy územních požadavků, převzetí</w:t>
            </w:r>
            <w:r w:rsidR="00CE2C8D" w:rsidRPr="00C77176">
              <w:rPr>
                <w:rFonts w:ascii="Arial" w:hAnsi="Arial" w:cs="Arial"/>
                <w:b/>
                <w:sz w:val="20"/>
                <w:szCs w:val="20"/>
              </w:rPr>
              <w:t xml:space="preserve"> požadavků 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na výstavbu </w:t>
            </w:r>
            <w:r w:rsidR="00392F06" w:rsidRPr="00C77176">
              <w:rPr>
                <w:rFonts w:ascii="Arial" w:hAnsi="Arial" w:cs="Arial"/>
                <w:b/>
                <w:sz w:val="20"/>
                <w:szCs w:val="20"/>
              </w:rPr>
              <w:t xml:space="preserve">ze současných prováděcích předpisů </w:t>
            </w:r>
          </w:p>
          <w:p w14:paraId="646CCD28" w14:textId="77777777" w:rsidR="00E53CDF" w:rsidRDefault="00E53CDF" w:rsidP="00E53CDF">
            <w:p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1D846" w14:textId="5BC906CD" w:rsidR="00CE2C8D" w:rsidRPr="00C77176" w:rsidRDefault="00CE2C8D" w:rsidP="00E53CDF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 xml:space="preserve">Hlavní </w:t>
            </w:r>
            <w:r w:rsidR="00392F06" w:rsidRPr="00C77176">
              <w:rPr>
                <w:rFonts w:ascii="Arial" w:hAnsi="Arial" w:cs="Arial"/>
                <w:b/>
                <w:sz w:val="18"/>
                <w:szCs w:val="18"/>
              </w:rPr>
              <w:t>riziko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DF35D3" w14:textId="0C1DCC95" w:rsidR="000C08C9" w:rsidRPr="00C77176" w:rsidRDefault="000C08C9" w:rsidP="00C77176">
            <w:pPr>
              <w:pStyle w:val="Odstavecseseznamem"/>
              <w:numPr>
                <w:ilvl w:val="0"/>
                <w:numId w:val="3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neexistence obecných kvalitativních požadavků na veřejný prostor </w:t>
            </w:r>
          </w:p>
          <w:p w14:paraId="6BDB015C" w14:textId="4BD0067B" w:rsidR="0025337A" w:rsidRPr="00C77176" w:rsidRDefault="0025337A" w:rsidP="00C77176">
            <w:pPr>
              <w:pStyle w:val="Odstavecseseznamem"/>
              <w:numPr>
                <w:ilvl w:val="0"/>
                <w:numId w:val="3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-obtížné zohledňování konkrétních místních podmínek při povolování záměrů – nedostatek obecných </w:t>
            </w:r>
            <w:proofErr w:type="gramStart"/>
            <w:r w:rsidRPr="00C77176">
              <w:rPr>
                <w:rFonts w:ascii="Arial" w:hAnsi="Arial" w:cs="Arial"/>
                <w:sz w:val="18"/>
                <w:szCs w:val="18"/>
              </w:rPr>
              <w:t>vodítek</w:t>
            </w:r>
            <w:proofErr w:type="gramEnd"/>
            <w:r w:rsidRPr="00C77176">
              <w:rPr>
                <w:rFonts w:ascii="Arial" w:hAnsi="Arial" w:cs="Arial"/>
                <w:sz w:val="18"/>
                <w:szCs w:val="18"/>
              </w:rPr>
              <w:t xml:space="preserve"> a naopak příliš detailní regulace společná pro všechny lokality a případy</w:t>
            </w:r>
          </w:p>
          <w:p w14:paraId="65A8BD15" w14:textId="2F5E7562" w:rsidR="00AC695F" w:rsidRPr="00C77176" w:rsidRDefault="00AC695F" w:rsidP="00C77176">
            <w:p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5A2" w:rsidRPr="00C77176" w14:paraId="09580A03" w14:textId="77777777" w:rsidTr="00C77176">
        <w:trPr>
          <w:trHeight w:val="505"/>
        </w:trPr>
        <w:tc>
          <w:tcPr>
            <w:tcW w:w="5037" w:type="dxa"/>
          </w:tcPr>
          <w:p w14:paraId="6236F851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Rozšíření náhrad za omezení vlastnických práv v důsledku změn v územně plánovací dokumentaci</w:t>
            </w:r>
          </w:p>
          <w:p w14:paraId="71E114F6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přínos:</w:t>
            </w:r>
          </w:p>
          <w:p w14:paraId="62EE23E4" w14:textId="5E4D556E" w:rsidR="009F75A2" w:rsidRPr="00C77176" w:rsidRDefault="009F75A2" w:rsidP="00C77176">
            <w:pPr>
              <w:pStyle w:val="Odstavecseseznamem"/>
              <w:numPr>
                <w:ilvl w:val="0"/>
                <w:numId w:val="35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v souladu s judikaturou je poskytování náhrad rozšířeno i na případy významného omezení zastavitelnosti pozemku nebo dlouhodobého dočasného omezení</w:t>
            </w:r>
          </w:p>
          <w:p w14:paraId="64E3CBDA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1044DD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Zachování úpravy poskytování náhrad neodpovídající ústavním požadavkům ochrany vlastnického práva </w:t>
            </w:r>
          </w:p>
          <w:p w14:paraId="152E7D86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riziko:</w:t>
            </w:r>
          </w:p>
          <w:p w14:paraId="339229BD" w14:textId="7E0374D6" w:rsidR="009F75A2" w:rsidRPr="00C77176" w:rsidRDefault="009F75A2" w:rsidP="00C77176">
            <w:pPr>
              <w:pStyle w:val="Odstavecseseznamem"/>
              <w:numPr>
                <w:ilvl w:val="0"/>
                <w:numId w:val="35"/>
              </w:num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zachován současný stav poskytování náhrad pouze za některé zásahy (trvalé omezení zastavitelnosti a stavební uzávěry), což neodpovídá požadavkům ústavní ochrany vlastnického práva, jak je vyložila soudní judikatura</w:t>
            </w:r>
          </w:p>
        </w:tc>
      </w:tr>
    </w:tbl>
    <w:p w14:paraId="7E1011AC" w14:textId="65A630B3" w:rsidR="008041C1" w:rsidRPr="00C77176" w:rsidRDefault="000826F4" w:rsidP="007B49F0">
      <w:pPr>
        <w:spacing w:before="60" w:after="60" w:line="264" w:lineRule="auto"/>
        <w:jc w:val="both"/>
        <w:rPr>
          <w:rFonts w:ascii="Arial" w:hAnsi="Arial" w:cs="Arial"/>
          <w:b/>
          <w:sz w:val="18"/>
          <w:szCs w:val="18"/>
        </w:rPr>
      </w:pPr>
      <w:r w:rsidRPr="00C77176">
        <w:rPr>
          <w:rFonts w:ascii="Arial" w:hAnsi="Arial" w:cs="Arial"/>
          <w:b/>
          <w:sz w:val="20"/>
          <w:szCs w:val="20"/>
          <w:u w:val="single"/>
        </w:rPr>
        <w:br/>
      </w:r>
      <w:r w:rsidR="008041C1" w:rsidRPr="00C77176">
        <w:rPr>
          <w:rFonts w:ascii="Arial" w:hAnsi="Arial" w:cs="Arial"/>
          <w:b/>
          <w:sz w:val="18"/>
          <w:szCs w:val="18"/>
        </w:rPr>
        <w:t>Celkové zhodnocení</w:t>
      </w:r>
      <w:r w:rsidR="000C5CED" w:rsidRPr="00C77176">
        <w:rPr>
          <w:rFonts w:ascii="Arial" w:hAnsi="Arial" w:cs="Arial"/>
          <w:b/>
          <w:sz w:val="18"/>
          <w:szCs w:val="18"/>
        </w:rPr>
        <w:t xml:space="preserve">: </w:t>
      </w:r>
    </w:p>
    <w:p w14:paraId="33A71FB7" w14:textId="77777777" w:rsidR="00C77176" w:rsidRPr="00C77176" w:rsidRDefault="00C77176" w:rsidP="007B49F0">
      <w:pPr>
        <w:spacing w:before="60" w:after="60" w:line="264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2A937C9" w14:textId="289C5D4D" w:rsidR="00D50BCC" w:rsidRPr="00C77176" w:rsidRDefault="00F25385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n</w:t>
      </w:r>
      <w:r w:rsidR="000C5CED" w:rsidRPr="00C77176">
        <w:rPr>
          <w:rFonts w:ascii="Arial" w:hAnsi="Arial" w:cs="Arial"/>
          <w:sz w:val="18"/>
          <w:szCs w:val="18"/>
        </w:rPr>
        <w:t xml:space="preserve">ávrh ze dne </w:t>
      </w:r>
      <w:r w:rsidR="009E15FA" w:rsidRPr="00C77176">
        <w:rPr>
          <w:rFonts w:ascii="Arial" w:hAnsi="Arial" w:cs="Arial"/>
          <w:sz w:val="18"/>
          <w:szCs w:val="18"/>
        </w:rPr>
        <w:t>3</w:t>
      </w:r>
      <w:r w:rsidR="000C5CED" w:rsidRPr="00C77176">
        <w:rPr>
          <w:rFonts w:ascii="Arial" w:hAnsi="Arial" w:cs="Arial"/>
          <w:sz w:val="18"/>
          <w:szCs w:val="18"/>
        </w:rPr>
        <w:t xml:space="preserve">. </w:t>
      </w:r>
      <w:r w:rsidR="009E15FA" w:rsidRPr="00C77176">
        <w:rPr>
          <w:rFonts w:ascii="Arial" w:hAnsi="Arial" w:cs="Arial"/>
          <w:sz w:val="18"/>
          <w:szCs w:val="18"/>
        </w:rPr>
        <w:t>4</w:t>
      </w:r>
      <w:r w:rsidR="000C5CED" w:rsidRPr="00C77176">
        <w:rPr>
          <w:rFonts w:ascii="Arial" w:hAnsi="Arial" w:cs="Arial"/>
          <w:sz w:val="18"/>
          <w:szCs w:val="18"/>
        </w:rPr>
        <w:t xml:space="preserve">. 2020 se v podstatných aspektech zásadně odchyluje od schváleného věcného záměru </w:t>
      </w:r>
    </w:p>
    <w:p w14:paraId="60CDFD26" w14:textId="7B43181E" w:rsidR="00D50BCC" w:rsidRPr="00C77176" w:rsidRDefault="00F25385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n</w:t>
      </w:r>
      <w:r w:rsidR="000C5CED" w:rsidRPr="00C77176">
        <w:rPr>
          <w:rFonts w:ascii="Arial" w:hAnsi="Arial" w:cs="Arial"/>
          <w:sz w:val="18"/>
          <w:szCs w:val="18"/>
        </w:rPr>
        <w:t>ávrh nezajišťuje základní</w:t>
      </w:r>
      <w:r w:rsidR="00D50BCC" w:rsidRPr="00C77176">
        <w:rPr>
          <w:rFonts w:ascii="Arial" w:hAnsi="Arial" w:cs="Arial"/>
          <w:sz w:val="18"/>
          <w:szCs w:val="18"/>
        </w:rPr>
        <w:t xml:space="preserve"> princip rekodifikace „1 úřad, 1 razítko, 1 řízení“</w:t>
      </w:r>
      <w:r w:rsidR="000C5CED" w:rsidRPr="00C77176">
        <w:rPr>
          <w:rFonts w:ascii="Arial" w:hAnsi="Arial" w:cs="Arial"/>
          <w:sz w:val="18"/>
          <w:szCs w:val="18"/>
        </w:rPr>
        <w:t xml:space="preserve"> a nesměřuje k zásadnímu zrychlení řízení o povolení záměru ani ke komplexnímu posuzování vlivu záměru na dotčené veřejné zájmy</w:t>
      </w:r>
    </w:p>
    <w:p w14:paraId="31A5B6CF" w14:textId="62BC6334" w:rsidR="000C5CED" w:rsidRPr="00C77176" w:rsidRDefault="00F25385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n</w:t>
      </w:r>
      <w:r w:rsidR="000C5CED" w:rsidRPr="00C77176">
        <w:rPr>
          <w:rFonts w:ascii="Arial" w:hAnsi="Arial" w:cs="Arial"/>
          <w:sz w:val="18"/>
          <w:szCs w:val="18"/>
        </w:rPr>
        <w:t xml:space="preserve">ávrh neřeší problém systémové podjatosti úředníků „obecních“ stavebních úřadů a nezavádí jednotnou, ale naopak </w:t>
      </w:r>
      <w:r w:rsidR="006314FC" w:rsidRPr="00C77176">
        <w:rPr>
          <w:rFonts w:ascii="Arial" w:hAnsi="Arial" w:cs="Arial"/>
          <w:sz w:val="18"/>
          <w:szCs w:val="18"/>
        </w:rPr>
        <w:t>roztříštěnou soustavu stavební správy</w:t>
      </w:r>
    </w:p>
    <w:p w14:paraId="77BB05C3" w14:textId="174C23A5" w:rsidR="00912BDA" w:rsidRPr="00C77176" w:rsidRDefault="00912BDA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hrozí</w:t>
      </w:r>
      <w:r w:rsidR="006314FC" w:rsidRPr="00C77176">
        <w:rPr>
          <w:rFonts w:ascii="Arial" w:hAnsi="Arial" w:cs="Arial"/>
          <w:sz w:val="18"/>
          <w:szCs w:val="18"/>
        </w:rPr>
        <w:t xml:space="preserve"> zahlcení krajských stavebních úřadů (z důvodu jak nečinnosti, tak nesprávnosti rozhodování stavebních úřadů </w:t>
      </w:r>
      <w:r w:rsidR="00C77176" w:rsidRPr="00C77176">
        <w:rPr>
          <w:rFonts w:ascii="Arial" w:hAnsi="Arial" w:cs="Arial"/>
          <w:sz w:val="18"/>
          <w:szCs w:val="18"/>
        </w:rPr>
        <w:t>obcí – KSÚ</w:t>
      </w:r>
      <w:r w:rsidRPr="00C77176">
        <w:rPr>
          <w:rFonts w:ascii="Arial" w:hAnsi="Arial" w:cs="Arial"/>
          <w:sz w:val="18"/>
          <w:szCs w:val="18"/>
        </w:rPr>
        <w:t xml:space="preserve"> bude bez možnosti </w:t>
      </w:r>
      <w:r w:rsidR="006314FC" w:rsidRPr="00C77176">
        <w:rPr>
          <w:rFonts w:ascii="Arial" w:hAnsi="Arial" w:cs="Arial"/>
          <w:sz w:val="18"/>
          <w:szCs w:val="18"/>
        </w:rPr>
        <w:t xml:space="preserve">rozhodnutí </w:t>
      </w:r>
      <w:r w:rsidRPr="00C77176">
        <w:rPr>
          <w:rFonts w:ascii="Arial" w:hAnsi="Arial" w:cs="Arial"/>
          <w:sz w:val="18"/>
          <w:szCs w:val="18"/>
        </w:rPr>
        <w:t xml:space="preserve">zrušit a vrátit </w:t>
      </w:r>
      <w:r w:rsidR="006314FC" w:rsidRPr="00C77176">
        <w:rPr>
          <w:rFonts w:ascii="Arial" w:hAnsi="Arial" w:cs="Arial"/>
          <w:sz w:val="18"/>
          <w:szCs w:val="18"/>
        </w:rPr>
        <w:t>věc n</w:t>
      </w:r>
      <w:r w:rsidRPr="00C77176">
        <w:rPr>
          <w:rFonts w:ascii="Arial" w:hAnsi="Arial" w:cs="Arial"/>
          <w:sz w:val="18"/>
          <w:szCs w:val="18"/>
        </w:rPr>
        <w:t xml:space="preserve">a 1. stupeň a zároveň </w:t>
      </w:r>
      <w:r w:rsidR="006314FC" w:rsidRPr="00C77176">
        <w:rPr>
          <w:rFonts w:ascii="Arial" w:hAnsi="Arial" w:cs="Arial"/>
          <w:sz w:val="18"/>
          <w:szCs w:val="18"/>
        </w:rPr>
        <w:t xml:space="preserve">nebude moci obecní stavební úřady </w:t>
      </w:r>
      <w:r w:rsidRPr="00C77176">
        <w:rPr>
          <w:rFonts w:ascii="Arial" w:hAnsi="Arial" w:cs="Arial"/>
          <w:sz w:val="18"/>
          <w:szCs w:val="18"/>
        </w:rPr>
        <w:t>efektivně personálně řídit</w:t>
      </w:r>
      <w:r w:rsidR="006314FC" w:rsidRPr="00C77176">
        <w:rPr>
          <w:rFonts w:ascii="Arial" w:hAnsi="Arial" w:cs="Arial"/>
          <w:sz w:val="18"/>
          <w:szCs w:val="18"/>
        </w:rPr>
        <w:t>)</w:t>
      </w:r>
    </w:p>
    <w:p w14:paraId="5DD1EECA" w14:textId="4205DFF7" w:rsidR="00D50BCC" w:rsidRPr="00C77176" w:rsidRDefault="00C573D5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návrh v části úpravy hmotněprávních požadavků nezajišťuje jejich zjednodušení a zpřehlednění a neumožňuje větší flexibilitu konkrétních řešení s ohledem na místní podmínky a další okolnosti záměru</w:t>
      </w:r>
    </w:p>
    <w:p w14:paraId="4AC7576F" w14:textId="4F458C18" w:rsidR="00207651" w:rsidRPr="00C77176" w:rsidRDefault="00207651" w:rsidP="00B549AD">
      <w:pPr>
        <w:pStyle w:val="Odstavecseseznamem"/>
        <w:spacing w:before="120" w:after="60" w:line="264" w:lineRule="auto"/>
        <w:ind w:left="1135" w:hanging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D37B7CE" w14:textId="3CE0B284" w:rsidR="00F37353" w:rsidRPr="00C77176" w:rsidRDefault="000826F4" w:rsidP="000826F4">
      <w:pPr>
        <w:pStyle w:val="Odstavecseseznamem"/>
        <w:spacing w:before="120" w:after="60" w:line="264" w:lineRule="auto"/>
        <w:ind w:left="1135" w:hanging="284"/>
        <w:contextualSpacing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77176">
        <w:rPr>
          <w:rFonts w:ascii="Arial" w:hAnsi="Arial" w:cs="Arial"/>
          <w:sz w:val="18"/>
          <w:szCs w:val="18"/>
        </w:rPr>
        <w:t xml:space="preserve">V Brně </w:t>
      </w:r>
      <w:r w:rsidR="009E15FA" w:rsidRPr="00C77176">
        <w:rPr>
          <w:rFonts w:ascii="Arial" w:hAnsi="Arial" w:cs="Arial"/>
          <w:sz w:val="18"/>
          <w:szCs w:val="18"/>
        </w:rPr>
        <w:t>22</w:t>
      </w:r>
      <w:r w:rsidRPr="00C77176">
        <w:rPr>
          <w:rFonts w:ascii="Arial" w:hAnsi="Arial" w:cs="Arial"/>
          <w:sz w:val="18"/>
          <w:szCs w:val="18"/>
        </w:rPr>
        <w:t xml:space="preserve">. </w:t>
      </w:r>
      <w:r w:rsidR="009E15FA" w:rsidRPr="00C77176">
        <w:rPr>
          <w:rFonts w:ascii="Arial" w:hAnsi="Arial" w:cs="Arial"/>
          <w:sz w:val="18"/>
          <w:szCs w:val="18"/>
        </w:rPr>
        <w:t>5</w:t>
      </w:r>
      <w:r w:rsidRPr="00C77176">
        <w:rPr>
          <w:rFonts w:ascii="Arial" w:hAnsi="Arial" w:cs="Arial"/>
          <w:sz w:val="18"/>
          <w:szCs w:val="18"/>
        </w:rPr>
        <w:t xml:space="preserve">. 2020 </w:t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  <w:t xml:space="preserve">Frank </w:t>
      </w:r>
      <w:proofErr w:type="spellStart"/>
      <w:r w:rsidRPr="00C77176">
        <w:rPr>
          <w:rFonts w:ascii="Arial" w:hAnsi="Arial" w:cs="Arial"/>
          <w:sz w:val="18"/>
          <w:szCs w:val="18"/>
        </w:rPr>
        <w:t>Bold</w:t>
      </w:r>
      <w:proofErr w:type="spellEnd"/>
      <w:r w:rsidRPr="00C77176">
        <w:rPr>
          <w:rFonts w:ascii="Arial" w:hAnsi="Arial" w:cs="Arial"/>
          <w:sz w:val="18"/>
          <w:szCs w:val="18"/>
        </w:rPr>
        <w:t xml:space="preserve"> Advokáti</w:t>
      </w:r>
    </w:p>
    <w:sectPr w:rsidR="00F37353" w:rsidRPr="00C77176" w:rsidSect="00886C2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8AA95" w14:textId="77777777" w:rsidR="00A07C14" w:rsidRDefault="00A07C14" w:rsidP="008F4B57">
      <w:pPr>
        <w:spacing w:after="0" w:line="240" w:lineRule="auto"/>
      </w:pPr>
      <w:r>
        <w:separator/>
      </w:r>
    </w:p>
  </w:endnote>
  <w:endnote w:type="continuationSeparator" w:id="0">
    <w:p w14:paraId="7926D317" w14:textId="77777777" w:rsidR="00A07C14" w:rsidRDefault="00A07C14" w:rsidP="008F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5C95B" w14:textId="77777777" w:rsidR="00A07C14" w:rsidRDefault="00A07C14" w:rsidP="008F4B57">
      <w:pPr>
        <w:spacing w:after="0" w:line="240" w:lineRule="auto"/>
      </w:pPr>
      <w:r>
        <w:separator/>
      </w:r>
    </w:p>
  </w:footnote>
  <w:footnote w:type="continuationSeparator" w:id="0">
    <w:p w14:paraId="5F56D884" w14:textId="77777777" w:rsidR="00A07C14" w:rsidRDefault="00A07C14" w:rsidP="008F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B48"/>
    <w:multiLevelType w:val="hybridMultilevel"/>
    <w:tmpl w:val="4A9476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94454"/>
    <w:multiLevelType w:val="hybridMultilevel"/>
    <w:tmpl w:val="0492B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A2C"/>
    <w:multiLevelType w:val="hybridMultilevel"/>
    <w:tmpl w:val="DEB212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7354"/>
    <w:multiLevelType w:val="hybridMultilevel"/>
    <w:tmpl w:val="080E5BE6"/>
    <w:lvl w:ilvl="0" w:tplc="E5C2C402">
      <w:start w:val="1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A964D36"/>
    <w:multiLevelType w:val="hybridMultilevel"/>
    <w:tmpl w:val="922415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27BD1"/>
    <w:multiLevelType w:val="hybridMultilevel"/>
    <w:tmpl w:val="8BA00DCA"/>
    <w:lvl w:ilvl="0" w:tplc="FCD2A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686"/>
    <w:multiLevelType w:val="hybridMultilevel"/>
    <w:tmpl w:val="F7700C02"/>
    <w:lvl w:ilvl="0" w:tplc="10F6F718">
      <w:numFmt w:val="bullet"/>
      <w:lvlText w:val="-"/>
      <w:lvlJc w:val="left"/>
      <w:pPr>
        <w:ind w:left="2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8437BFE"/>
    <w:multiLevelType w:val="hybridMultilevel"/>
    <w:tmpl w:val="C4CEAA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2562B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E11BA"/>
    <w:multiLevelType w:val="hybridMultilevel"/>
    <w:tmpl w:val="7FC06EF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EC2AF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D7820"/>
    <w:multiLevelType w:val="hybridMultilevel"/>
    <w:tmpl w:val="64987B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56BD8"/>
    <w:multiLevelType w:val="hybridMultilevel"/>
    <w:tmpl w:val="0FA697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52D8"/>
    <w:multiLevelType w:val="hybridMultilevel"/>
    <w:tmpl w:val="D2407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10E9"/>
    <w:multiLevelType w:val="hybridMultilevel"/>
    <w:tmpl w:val="ED40627C"/>
    <w:lvl w:ilvl="0" w:tplc="E5C2C402">
      <w:start w:val="1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3AAD"/>
    <w:multiLevelType w:val="hybridMultilevel"/>
    <w:tmpl w:val="71C05F4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A02A1"/>
    <w:multiLevelType w:val="hybridMultilevel"/>
    <w:tmpl w:val="42C2877A"/>
    <w:lvl w:ilvl="0" w:tplc="6CC66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92E86"/>
    <w:multiLevelType w:val="hybridMultilevel"/>
    <w:tmpl w:val="EB02467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E18B7"/>
    <w:multiLevelType w:val="hybridMultilevel"/>
    <w:tmpl w:val="B0C6212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DE39BC"/>
    <w:multiLevelType w:val="hybridMultilevel"/>
    <w:tmpl w:val="45A0A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08EA"/>
    <w:multiLevelType w:val="hybridMultilevel"/>
    <w:tmpl w:val="9D4AC3DE"/>
    <w:lvl w:ilvl="0" w:tplc="6CC66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525D7"/>
    <w:multiLevelType w:val="hybridMultilevel"/>
    <w:tmpl w:val="E480B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6ECC"/>
    <w:multiLevelType w:val="hybridMultilevel"/>
    <w:tmpl w:val="B2E8E2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BB65F4"/>
    <w:multiLevelType w:val="hybridMultilevel"/>
    <w:tmpl w:val="8332BEC2"/>
    <w:lvl w:ilvl="0" w:tplc="6CC66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7004"/>
    <w:multiLevelType w:val="hybridMultilevel"/>
    <w:tmpl w:val="01C4FDBE"/>
    <w:lvl w:ilvl="0" w:tplc="2F56810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29241E"/>
    <w:multiLevelType w:val="hybridMultilevel"/>
    <w:tmpl w:val="AC06D962"/>
    <w:lvl w:ilvl="0" w:tplc="6CC66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763FD"/>
    <w:multiLevelType w:val="hybridMultilevel"/>
    <w:tmpl w:val="51545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27B22"/>
    <w:multiLevelType w:val="hybridMultilevel"/>
    <w:tmpl w:val="4A3C7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E533F"/>
    <w:multiLevelType w:val="hybridMultilevel"/>
    <w:tmpl w:val="D01698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72E1C"/>
    <w:multiLevelType w:val="hybridMultilevel"/>
    <w:tmpl w:val="2C94B174"/>
    <w:lvl w:ilvl="0" w:tplc="7264DA8E">
      <w:start w:val="7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5900E16"/>
    <w:multiLevelType w:val="hybridMultilevel"/>
    <w:tmpl w:val="E8B880F2"/>
    <w:lvl w:ilvl="0" w:tplc="50ECE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D568D8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15DDD"/>
    <w:multiLevelType w:val="hybridMultilevel"/>
    <w:tmpl w:val="F78424A8"/>
    <w:lvl w:ilvl="0" w:tplc="C2AA73EE">
      <w:start w:val="7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8251F5F"/>
    <w:multiLevelType w:val="hybridMultilevel"/>
    <w:tmpl w:val="99CA45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83F2750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C19A3"/>
    <w:multiLevelType w:val="hybridMultilevel"/>
    <w:tmpl w:val="6100A77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5221B5"/>
    <w:multiLevelType w:val="hybridMultilevel"/>
    <w:tmpl w:val="A45CC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F837F3"/>
    <w:multiLevelType w:val="hybridMultilevel"/>
    <w:tmpl w:val="4C5CD042"/>
    <w:lvl w:ilvl="0" w:tplc="40B243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6129F"/>
    <w:multiLevelType w:val="hybridMultilevel"/>
    <w:tmpl w:val="0868D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9"/>
  </w:num>
  <w:num w:numId="4">
    <w:abstractNumId w:val="10"/>
  </w:num>
  <w:num w:numId="5">
    <w:abstractNumId w:val="26"/>
  </w:num>
  <w:num w:numId="6">
    <w:abstractNumId w:val="22"/>
  </w:num>
  <w:num w:numId="7">
    <w:abstractNumId w:val="24"/>
  </w:num>
  <w:num w:numId="8">
    <w:abstractNumId w:val="5"/>
  </w:num>
  <w:num w:numId="9">
    <w:abstractNumId w:val="27"/>
  </w:num>
  <w:num w:numId="10">
    <w:abstractNumId w:val="29"/>
  </w:num>
  <w:num w:numId="11">
    <w:abstractNumId w:val="3"/>
  </w:num>
  <w:num w:numId="12">
    <w:abstractNumId w:val="12"/>
  </w:num>
  <w:num w:numId="13">
    <w:abstractNumId w:val="25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5"/>
  </w:num>
  <w:num w:numId="24">
    <w:abstractNumId w:val="20"/>
  </w:num>
  <w:num w:numId="25">
    <w:abstractNumId w:val="6"/>
  </w:num>
  <w:num w:numId="26">
    <w:abstractNumId w:val="0"/>
  </w:num>
  <w:num w:numId="27">
    <w:abstractNumId w:val="18"/>
  </w:num>
  <w:num w:numId="28">
    <w:abstractNumId w:val="7"/>
  </w:num>
  <w:num w:numId="29">
    <w:abstractNumId w:val="31"/>
  </w:num>
  <w:num w:numId="30">
    <w:abstractNumId w:val="8"/>
  </w:num>
  <w:num w:numId="31">
    <w:abstractNumId w:val="30"/>
  </w:num>
  <w:num w:numId="32">
    <w:abstractNumId w:val="9"/>
  </w:num>
  <w:num w:numId="33">
    <w:abstractNumId w:val="13"/>
  </w:num>
  <w:num w:numId="34">
    <w:abstractNumId w:val="3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39"/>
    <w:rsid w:val="00014FAE"/>
    <w:rsid w:val="0002351D"/>
    <w:rsid w:val="00042CD0"/>
    <w:rsid w:val="00046C50"/>
    <w:rsid w:val="00065DB8"/>
    <w:rsid w:val="00066F62"/>
    <w:rsid w:val="000826F4"/>
    <w:rsid w:val="000C08C9"/>
    <w:rsid w:val="000C5CED"/>
    <w:rsid w:val="000D64FA"/>
    <w:rsid w:val="00102DD0"/>
    <w:rsid w:val="00127042"/>
    <w:rsid w:val="001B4811"/>
    <w:rsid w:val="00207651"/>
    <w:rsid w:val="00224DAB"/>
    <w:rsid w:val="0025337A"/>
    <w:rsid w:val="002575DF"/>
    <w:rsid w:val="00294113"/>
    <w:rsid w:val="003224F8"/>
    <w:rsid w:val="00334D3C"/>
    <w:rsid w:val="00352298"/>
    <w:rsid w:val="003524A7"/>
    <w:rsid w:val="00392F06"/>
    <w:rsid w:val="00397843"/>
    <w:rsid w:val="00413F37"/>
    <w:rsid w:val="00415DBD"/>
    <w:rsid w:val="00543664"/>
    <w:rsid w:val="00561649"/>
    <w:rsid w:val="00567B35"/>
    <w:rsid w:val="00592703"/>
    <w:rsid w:val="005C2C1F"/>
    <w:rsid w:val="00602FC4"/>
    <w:rsid w:val="006314FC"/>
    <w:rsid w:val="00650885"/>
    <w:rsid w:val="00691E5D"/>
    <w:rsid w:val="006A1546"/>
    <w:rsid w:val="006D78C5"/>
    <w:rsid w:val="006F0CF1"/>
    <w:rsid w:val="007670E6"/>
    <w:rsid w:val="007B0289"/>
    <w:rsid w:val="007B49F0"/>
    <w:rsid w:val="008041C1"/>
    <w:rsid w:val="00816F39"/>
    <w:rsid w:val="00830CF5"/>
    <w:rsid w:val="00877365"/>
    <w:rsid w:val="00886C25"/>
    <w:rsid w:val="008D15AA"/>
    <w:rsid w:val="008D65D9"/>
    <w:rsid w:val="008F4B57"/>
    <w:rsid w:val="00912BDA"/>
    <w:rsid w:val="0092456A"/>
    <w:rsid w:val="0095723C"/>
    <w:rsid w:val="0097524B"/>
    <w:rsid w:val="00993569"/>
    <w:rsid w:val="009A77FE"/>
    <w:rsid w:val="009B5801"/>
    <w:rsid w:val="009C3AA8"/>
    <w:rsid w:val="009C4352"/>
    <w:rsid w:val="009E15FA"/>
    <w:rsid w:val="009F75A2"/>
    <w:rsid w:val="00A07C14"/>
    <w:rsid w:val="00A74519"/>
    <w:rsid w:val="00A95187"/>
    <w:rsid w:val="00AA57C7"/>
    <w:rsid w:val="00AC695F"/>
    <w:rsid w:val="00AD76FE"/>
    <w:rsid w:val="00B020C1"/>
    <w:rsid w:val="00B47BEA"/>
    <w:rsid w:val="00B549AD"/>
    <w:rsid w:val="00B91649"/>
    <w:rsid w:val="00BE3C71"/>
    <w:rsid w:val="00BF17F6"/>
    <w:rsid w:val="00C573D5"/>
    <w:rsid w:val="00C77176"/>
    <w:rsid w:val="00C91037"/>
    <w:rsid w:val="00CB4BFF"/>
    <w:rsid w:val="00CE2C8D"/>
    <w:rsid w:val="00D33237"/>
    <w:rsid w:val="00D348D9"/>
    <w:rsid w:val="00D50BCC"/>
    <w:rsid w:val="00D52215"/>
    <w:rsid w:val="00D97876"/>
    <w:rsid w:val="00DD6A11"/>
    <w:rsid w:val="00DE1166"/>
    <w:rsid w:val="00E105B5"/>
    <w:rsid w:val="00E53CDF"/>
    <w:rsid w:val="00E97E95"/>
    <w:rsid w:val="00EB234E"/>
    <w:rsid w:val="00ED0281"/>
    <w:rsid w:val="00ED360F"/>
    <w:rsid w:val="00F25385"/>
    <w:rsid w:val="00F37353"/>
    <w:rsid w:val="00F572F1"/>
    <w:rsid w:val="00F6348D"/>
    <w:rsid w:val="00FD3062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C6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B57"/>
  </w:style>
  <w:style w:type="paragraph" w:styleId="Zpat">
    <w:name w:val="footer"/>
    <w:basedOn w:val="Normln"/>
    <w:link w:val="ZpatChar"/>
    <w:uiPriority w:val="99"/>
    <w:unhideWhenUsed/>
    <w:rsid w:val="008F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B57"/>
  </w:style>
  <w:style w:type="paragraph" w:styleId="Odstavecseseznamem">
    <w:name w:val="List Paragraph"/>
    <w:basedOn w:val="Normln"/>
    <w:uiPriority w:val="34"/>
    <w:qFormat/>
    <w:rsid w:val="008F4B5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73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3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735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2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5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5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5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7D57-3713-4622-B290-28DD9717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2020-05-26T06:27:00Z</dcterms:created>
  <dcterms:modified xsi:type="dcterms:W3CDTF">2020-05-26T06:27:00Z</dcterms:modified>
</cp:coreProperties>
</file>