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A81B7" w14:textId="5E9B0CF6" w:rsidR="00A055FF" w:rsidRPr="00344A25" w:rsidRDefault="00F02D06" w:rsidP="00344A25">
      <w:pPr>
        <w:jc w:val="center"/>
        <w:rPr>
          <w:rFonts w:ascii="Arial" w:eastAsiaTheme="minorEastAsia" w:hAnsi="Arial" w:cs="Arial"/>
          <w:b/>
          <w:noProof/>
          <w:sz w:val="32"/>
          <w:szCs w:val="32"/>
          <w:lang w:eastAsia="cs-CZ"/>
        </w:rPr>
      </w:pPr>
      <w:r>
        <w:rPr>
          <w:rFonts w:ascii="Arial" w:eastAsiaTheme="minorEastAsia" w:hAnsi="Arial" w:cs="Arial"/>
          <w:b/>
          <w:noProof/>
          <w:sz w:val="32"/>
          <w:szCs w:val="32"/>
          <w:lang w:eastAsia="cs-CZ"/>
        </w:rPr>
        <w:t>Připomínky</w:t>
      </w:r>
      <w:r w:rsidR="00344A25" w:rsidRPr="00344A25">
        <w:rPr>
          <w:rFonts w:ascii="Arial" w:eastAsiaTheme="minorEastAsia" w:hAnsi="Arial" w:cs="Arial"/>
          <w:b/>
          <w:noProof/>
          <w:sz w:val="32"/>
          <w:szCs w:val="32"/>
          <w:lang w:eastAsia="cs-CZ"/>
        </w:rPr>
        <w:t xml:space="preserve"> Hospodářské komory</w:t>
      </w:r>
      <w:r>
        <w:rPr>
          <w:rFonts w:ascii="Arial" w:eastAsiaTheme="minorEastAsia" w:hAnsi="Arial" w:cs="Arial"/>
          <w:b/>
          <w:noProof/>
          <w:sz w:val="32"/>
          <w:szCs w:val="32"/>
          <w:lang w:eastAsia="cs-CZ"/>
        </w:rPr>
        <w:t xml:space="preserve"> ČR</w:t>
      </w:r>
      <w:r w:rsidR="00A055FF" w:rsidRPr="00344A25">
        <w:rPr>
          <w:rFonts w:ascii="Arial" w:eastAsiaTheme="minorEastAsia" w:hAnsi="Arial" w:cs="Arial"/>
          <w:b/>
          <w:noProof/>
          <w:sz w:val="32"/>
          <w:szCs w:val="32"/>
          <w:lang w:eastAsia="cs-CZ"/>
        </w:rPr>
        <w:t xml:space="preserve"> k</w:t>
      </w:r>
      <w:r>
        <w:rPr>
          <w:rFonts w:ascii="Arial" w:eastAsiaTheme="minorEastAsia" w:hAnsi="Arial" w:cs="Arial"/>
          <w:b/>
          <w:noProof/>
          <w:sz w:val="32"/>
          <w:szCs w:val="32"/>
          <w:lang w:eastAsia="cs-CZ"/>
        </w:rPr>
        <w:t xml:space="preserve"> poslední verzi </w:t>
      </w:r>
      <w:r w:rsidR="00A055FF" w:rsidRPr="00344A25">
        <w:rPr>
          <w:rFonts w:ascii="Arial" w:eastAsiaTheme="minorEastAsia" w:hAnsi="Arial" w:cs="Arial"/>
          <w:b/>
          <w:noProof/>
          <w:sz w:val="32"/>
          <w:szCs w:val="32"/>
          <w:lang w:eastAsia="cs-CZ"/>
        </w:rPr>
        <w:t>návrhu stavebního zákona</w:t>
      </w:r>
    </w:p>
    <w:p w14:paraId="2CE04BBD" w14:textId="26C3744D" w:rsidR="00A055FF" w:rsidRPr="00344A25" w:rsidRDefault="00A055FF" w:rsidP="00344A25">
      <w:pPr>
        <w:jc w:val="both"/>
        <w:rPr>
          <w:rFonts w:ascii="Arial" w:eastAsiaTheme="minorEastAsia" w:hAnsi="Arial" w:cs="Arial"/>
          <w:b/>
          <w:noProof/>
          <w:lang w:eastAsia="cs-CZ"/>
        </w:rPr>
      </w:pPr>
      <w:r w:rsidRPr="00344A25">
        <w:rPr>
          <w:rFonts w:ascii="Arial" w:eastAsiaTheme="minorEastAsia" w:hAnsi="Arial" w:cs="Arial"/>
          <w:b/>
          <w:noProof/>
          <w:lang w:eastAsia="cs-CZ"/>
        </w:rPr>
        <w:t xml:space="preserve">Hospodářská komora ČR </w:t>
      </w:r>
      <w:r w:rsidR="002A4074">
        <w:rPr>
          <w:rFonts w:ascii="Arial" w:eastAsiaTheme="minorEastAsia" w:hAnsi="Arial" w:cs="Arial"/>
          <w:b/>
          <w:noProof/>
          <w:lang w:eastAsia="cs-CZ"/>
        </w:rPr>
        <w:t xml:space="preserve">má </w:t>
      </w:r>
      <w:r w:rsidR="00811F8B">
        <w:rPr>
          <w:rFonts w:ascii="Arial" w:eastAsiaTheme="minorEastAsia" w:hAnsi="Arial" w:cs="Arial"/>
          <w:b/>
          <w:noProof/>
          <w:lang w:eastAsia="cs-CZ"/>
        </w:rPr>
        <w:t>po seznámení se s poslední verzí nového stavebního zákona celou řadu připomínek, které upozorňují jednak na nesoulad s věcným záměrem nového stavebního zákona</w:t>
      </w:r>
      <w:r w:rsidR="006472B0">
        <w:rPr>
          <w:rFonts w:ascii="Arial" w:eastAsiaTheme="minorEastAsia" w:hAnsi="Arial" w:cs="Arial"/>
          <w:b/>
          <w:noProof/>
          <w:lang w:eastAsia="cs-CZ"/>
        </w:rPr>
        <w:t>,</w:t>
      </w:r>
      <w:r w:rsidR="00811F8B">
        <w:rPr>
          <w:rFonts w:ascii="Arial" w:eastAsiaTheme="minorEastAsia" w:hAnsi="Arial" w:cs="Arial"/>
          <w:b/>
          <w:noProof/>
          <w:lang w:eastAsia="cs-CZ"/>
        </w:rPr>
        <w:t xml:space="preserve"> a </w:t>
      </w:r>
      <w:r w:rsidR="002A4074">
        <w:rPr>
          <w:rFonts w:ascii="Arial" w:eastAsiaTheme="minorEastAsia" w:hAnsi="Arial" w:cs="Arial"/>
          <w:b/>
          <w:noProof/>
          <w:lang w:eastAsia="cs-CZ"/>
        </w:rPr>
        <w:t xml:space="preserve">dále </w:t>
      </w:r>
      <w:r w:rsidR="006472B0">
        <w:rPr>
          <w:rFonts w:ascii="Arial" w:eastAsiaTheme="minorEastAsia" w:hAnsi="Arial" w:cs="Arial"/>
          <w:b/>
          <w:noProof/>
          <w:lang w:eastAsia="cs-CZ"/>
        </w:rPr>
        <w:t xml:space="preserve">pak </w:t>
      </w:r>
      <w:r w:rsidR="002A4074">
        <w:rPr>
          <w:rFonts w:ascii="Arial" w:eastAsiaTheme="minorEastAsia" w:hAnsi="Arial" w:cs="Arial"/>
          <w:b/>
          <w:noProof/>
          <w:lang w:eastAsia="cs-CZ"/>
        </w:rPr>
        <w:t>na po</w:t>
      </w:r>
      <w:r w:rsidR="003C133D">
        <w:rPr>
          <w:rFonts w:ascii="Arial" w:eastAsiaTheme="minorEastAsia" w:hAnsi="Arial" w:cs="Arial"/>
          <w:b/>
          <w:noProof/>
          <w:lang w:eastAsia="cs-CZ"/>
        </w:rPr>
        <w:t>tlačení</w:t>
      </w:r>
      <w:r w:rsidR="00811F8B">
        <w:rPr>
          <w:rFonts w:ascii="Arial" w:eastAsiaTheme="minorEastAsia" w:hAnsi="Arial" w:cs="Arial"/>
          <w:b/>
          <w:noProof/>
          <w:lang w:eastAsia="cs-CZ"/>
        </w:rPr>
        <w:t xml:space="preserve"> základní</w:t>
      </w:r>
      <w:r w:rsidR="002A4074">
        <w:rPr>
          <w:rFonts w:ascii="Arial" w:eastAsiaTheme="minorEastAsia" w:hAnsi="Arial" w:cs="Arial"/>
          <w:b/>
          <w:noProof/>
          <w:lang w:eastAsia="cs-CZ"/>
        </w:rPr>
        <w:t>ch</w:t>
      </w:r>
      <w:r w:rsidR="00811F8B">
        <w:rPr>
          <w:rFonts w:ascii="Arial" w:eastAsiaTheme="minorEastAsia" w:hAnsi="Arial" w:cs="Arial"/>
          <w:b/>
          <w:noProof/>
          <w:lang w:eastAsia="cs-CZ"/>
        </w:rPr>
        <w:t xml:space="preserve"> princip</w:t>
      </w:r>
      <w:r w:rsidR="002A4074">
        <w:rPr>
          <w:rFonts w:ascii="Arial" w:eastAsiaTheme="minorEastAsia" w:hAnsi="Arial" w:cs="Arial"/>
          <w:b/>
          <w:noProof/>
          <w:lang w:eastAsia="cs-CZ"/>
        </w:rPr>
        <w:t>ů</w:t>
      </w:r>
      <w:r w:rsidR="00811F8B">
        <w:rPr>
          <w:rFonts w:ascii="Arial" w:eastAsiaTheme="minorEastAsia" w:hAnsi="Arial" w:cs="Arial"/>
          <w:b/>
          <w:noProof/>
          <w:lang w:eastAsia="cs-CZ"/>
        </w:rPr>
        <w:t xml:space="preserve"> rekodifikace stavebního práva</w:t>
      </w:r>
      <w:r w:rsidR="00726FDB">
        <w:rPr>
          <w:rFonts w:ascii="Arial" w:eastAsiaTheme="minorEastAsia" w:hAnsi="Arial" w:cs="Arial"/>
          <w:b/>
          <w:noProof/>
          <w:lang w:eastAsia="cs-CZ"/>
        </w:rPr>
        <w:t>. Na těchto principech byla ovšem</w:t>
      </w:r>
      <w:r w:rsidR="002A4074">
        <w:rPr>
          <w:rFonts w:ascii="Arial" w:eastAsiaTheme="minorEastAsia" w:hAnsi="Arial" w:cs="Arial"/>
          <w:b/>
          <w:noProof/>
          <w:lang w:eastAsia="cs-CZ"/>
        </w:rPr>
        <w:t xml:space="preserve"> před řadou týdnů </w:t>
      </w:r>
      <w:r w:rsidR="003C133D">
        <w:rPr>
          <w:rFonts w:ascii="Arial" w:eastAsiaTheme="minorEastAsia" w:hAnsi="Arial" w:cs="Arial"/>
          <w:b/>
          <w:noProof/>
          <w:lang w:eastAsia="cs-CZ"/>
        </w:rPr>
        <w:t xml:space="preserve">nalezena </w:t>
      </w:r>
      <w:r w:rsidR="002A4074">
        <w:rPr>
          <w:rFonts w:ascii="Arial" w:eastAsiaTheme="minorEastAsia" w:hAnsi="Arial" w:cs="Arial"/>
          <w:b/>
          <w:noProof/>
          <w:lang w:eastAsia="cs-CZ"/>
        </w:rPr>
        <w:t>široká</w:t>
      </w:r>
      <w:r w:rsidR="00811F8B">
        <w:rPr>
          <w:rFonts w:ascii="Arial" w:eastAsiaTheme="minorEastAsia" w:hAnsi="Arial" w:cs="Arial"/>
          <w:b/>
          <w:noProof/>
          <w:lang w:eastAsia="cs-CZ"/>
        </w:rPr>
        <w:t xml:space="preserve"> celospolečenská shoda</w:t>
      </w:r>
      <w:r w:rsidR="00726FDB">
        <w:rPr>
          <w:rFonts w:ascii="Arial" w:eastAsiaTheme="minorEastAsia" w:hAnsi="Arial" w:cs="Arial"/>
          <w:b/>
          <w:noProof/>
          <w:lang w:eastAsia="cs-CZ"/>
        </w:rPr>
        <w:t>.</w:t>
      </w:r>
    </w:p>
    <w:p w14:paraId="33C65492" w14:textId="3ECCFB8D" w:rsidR="00A055FF" w:rsidRPr="00A055FF" w:rsidRDefault="00A055FF" w:rsidP="00344A25">
      <w:pPr>
        <w:jc w:val="both"/>
        <w:rPr>
          <w:rFonts w:ascii="Arial" w:eastAsiaTheme="minorEastAsia" w:hAnsi="Arial" w:cs="Arial"/>
          <w:noProof/>
          <w:lang w:eastAsia="cs-CZ"/>
        </w:rPr>
      </w:pPr>
      <w:r w:rsidRPr="00A055FF">
        <w:rPr>
          <w:rFonts w:ascii="Arial" w:eastAsiaTheme="minorEastAsia" w:hAnsi="Arial" w:cs="Arial"/>
          <w:noProof/>
          <w:lang w:eastAsia="cs-CZ"/>
        </w:rPr>
        <w:t xml:space="preserve">S ohledem na partnerskou spolupráci na základě memoranda mezi Hospodářskou komorou ČR a Ministerstvem pro místní rozvoj </w:t>
      </w:r>
      <w:r w:rsidR="00F87B84" w:rsidRPr="00A055FF">
        <w:rPr>
          <w:rFonts w:ascii="Arial" w:eastAsiaTheme="minorEastAsia" w:hAnsi="Arial" w:cs="Arial"/>
          <w:noProof/>
          <w:lang w:eastAsia="cs-CZ"/>
        </w:rPr>
        <w:t xml:space="preserve">nepodala </w:t>
      </w:r>
      <w:r w:rsidR="00F87B84">
        <w:rPr>
          <w:rFonts w:ascii="Arial" w:eastAsiaTheme="minorEastAsia" w:hAnsi="Arial" w:cs="Arial"/>
          <w:noProof/>
          <w:lang w:eastAsia="cs-CZ"/>
        </w:rPr>
        <w:t xml:space="preserve">zcela záměrně a kolegiálně </w:t>
      </w:r>
      <w:r w:rsidRPr="00A055FF">
        <w:rPr>
          <w:rFonts w:ascii="Arial" w:eastAsiaTheme="minorEastAsia" w:hAnsi="Arial" w:cs="Arial"/>
          <w:noProof/>
          <w:lang w:eastAsia="cs-CZ"/>
        </w:rPr>
        <w:t>Hospodářská komora ČR žádné připomínky k návrhu nového stavebního zákona ani změnového zákona, které byly rozeslány do meziresortního připomínkového řízení dne 25. 11. 2019 s cílem dosáhnout předložení návrhů vládě do 31. ledna 2020 podle usnesení vlády č. 448 ze dne 24. 6. 2019.</w:t>
      </w:r>
    </w:p>
    <w:p w14:paraId="615A120B" w14:textId="262CD967" w:rsidR="005172C9" w:rsidRDefault="00A055FF" w:rsidP="00344A25">
      <w:pPr>
        <w:jc w:val="both"/>
        <w:rPr>
          <w:rFonts w:ascii="Arial" w:eastAsiaTheme="minorEastAsia" w:hAnsi="Arial" w:cs="Arial"/>
          <w:noProof/>
          <w:lang w:eastAsia="cs-CZ"/>
        </w:rPr>
      </w:pPr>
      <w:r w:rsidRPr="00A055FF">
        <w:rPr>
          <w:rFonts w:ascii="Arial" w:eastAsiaTheme="minorEastAsia" w:hAnsi="Arial" w:cs="Arial"/>
          <w:noProof/>
          <w:lang w:eastAsia="cs-CZ"/>
        </w:rPr>
        <w:t>Bohužel, Ministerstvo pro místní rozvoj nesplnilo vládou stanovený termín předložení návrhu vládě, ale ani prodloužený termín do 28. 2. 2020, ani další prodloužený termín do 30. 4. 2020. Podle dostupných informací návrh v průběhu času zcela změnilo, aniž by takto změněný návrh zaslalo Hospodářské komoře ČR jako povinnému připomínkovému místu.</w:t>
      </w:r>
    </w:p>
    <w:p w14:paraId="219D132B" w14:textId="5BE6F51C" w:rsidR="005172C9" w:rsidRPr="00A055FF" w:rsidRDefault="005172C9" w:rsidP="00344A25">
      <w:pPr>
        <w:jc w:val="both"/>
        <w:rPr>
          <w:rFonts w:ascii="Arial" w:eastAsiaTheme="minorEastAsia" w:hAnsi="Arial" w:cs="Arial"/>
          <w:noProof/>
          <w:lang w:eastAsia="cs-CZ"/>
        </w:rPr>
      </w:pPr>
      <w:r>
        <w:rPr>
          <w:rFonts w:ascii="Arial" w:eastAsiaTheme="minorEastAsia" w:hAnsi="Arial" w:cs="Arial"/>
          <w:noProof/>
          <w:lang w:eastAsia="cs-CZ"/>
        </w:rPr>
        <w:t>S poslední verzí textu jsme se mohli seznámit díky spolupracujícím organizacím, oficiálně jsme ji z ministerstva bohužel neobdrželi. Aktuální stav textu je dle našeho posouzení zcela odlišný, výrazně rozsáhlejší a v zásadě i kvalitativně horší, než byl návrh rozeslaný do připomínkového řízení dne 25. 11. 2019. Domníváme</w:t>
      </w:r>
      <w:r w:rsidR="00EC0E61">
        <w:rPr>
          <w:rFonts w:ascii="Arial" w:eastAsiaTheme="minorEastAsia" w:hAnsi="Arial" w:cs="Arial"/>
          <w:noProof/>
          <w:lang w:eastAsia="cs-CZ"/>
        </w:rPr>
        <w:t xml:space="preserve"> se</w:t>
      </w:r>
      <w:r>
        <w:rPr>
          <w:rFonts w:ascii="Arial" w:eastAsiaTheme="minorEastAsia" w:hAnsi="Arial" w:cs="Arial"/>
          <w:noProof/>
          <w:lang w:eastAsia="cs-CZ"/>
        </w:rPr>
        <w:t>, že čistě úřednickým vypořádáním obdržených připomínek a odstraňováním rozporů bez potřebného nasazení pro hledání kompromisů</w:t>
      </w:r>
      <w:r w:rsidR="00FE046D">
        <w:rPr>
          <w:rFonts w:ascii="Arial" w:eastAsiaTheme="minorEastAsia" w:hAnsi="Arial" w:cs="Arial"/>
          <w:noProof/>
          <w:lang w:eastAsia="cs-CZ"/>
        </w:rPr>
        <w:t>,</w:t>
      </w:r>
      <w:r>
        <w:rPr>
          <w:rFonts w:ascii="Arial" w:eastAsiaTheme="minorEastAsia" w:hAnsi="Arial" w:cs="Arial"/>
          <w:noProof/>
          <w:lang w:eastAsia="cs-CZ"/>
        </w:rPr>
        <w:t xml:space="preserve"> došlo k řadě nekoncepčních změn.  Tyto změny  ovšem vyvolávají celou řadu dalších rozporů s těmi připomínkovými místy, jež s původními návrhy</w:t>
      </w:r>
      <w:r w:rsidR="00CC480F">
        <w:rPr>
          <w:rFonts w:ascii="Arial" w:eastAsiaTheme="minorEastAsia" w:hAnsi="Arial" w:cs="Arial"/>
          <w:noProof/>
          <w:lang w:eastAsia="cs-CZ"/>
        </w:rPr>
        <w:t xml:space="preserve"> zákonů</w:t>
      </w:r>
      <w:r>
        <w:rPr>
          <w:rFonts w:ascii="Arial" w:eastAsiaTheme="minorEastAsia" w:hAnsi="Arial" w:cs="Arial"/>
          <w:noProof/>
          <w:lang w:eastAsia="cs-CZ"/>
        </w:rPr>
        <w:t xml:space="preserve"> z mezirezortního připomínkového řízení souhlasila. </w:t>
      </w:r>
    </w:p>
    <w:p w14:paraId="2C3DD87C" w14:textId="459BD6E6" w:rsidR="00A055FF" w:rsidRPr="00A055FF" w:rsidRDefault="00A055FF" w:rsidP="00344A25">
      <w:pPr>
        <w:jc w:val="both"/>
        <w:rPr>
          <w:rFonts w:ascii="Arial" w:eastAsiaTheme="minorEastAsia" w:hAnsi="Arial" w:cs="Arial"/>
          <w:noProof/>
          <w:lang w:eastAsia="cs-CZ"/>
        </w:rPr>
      </w:pPr>
      <w:r w:rsidRPr="00A055FF">
        <w:rPr>
          <w:rFonts w:ascii="Arial" w:eastAsiaTheme="minorEastAsia" w:hAnsi="Arial" w:cs="Arial"/>
          <w:noProof/>
          <w:lang w:eastAsia="cs-CZ"/>
        </w:rPr>
        <w:t xml:space="preserve">Vzhledem k tomu, že Hospodářská komora ČR plně podporovala návrh obou zákonů rozeslaných do připomínkového řízení dne 25. 11. 2019, tak každá </w:t>
      </w:r>
      <w:r w:rsidR="005172C9">
        <w:rPr>
          <w:rFonts w:ascii="Arial" w:eastAsiaTheme="minorEastAsia" w:hAnsi="Arial" w:cs="Arial"/>
          <w:noProof/>
          <w:lang w:eastAsia="cs-CZ"/>
        </w:rPr>
        <w:t xml:space="preserve">principiální </w:t>
      </w:r>
      <w:r w:rsidRPr="00A055FF">
        <w:rPr>
          <w:rFonts w:ascii="Arial" w:eastAsiaTheme="minorEastAsia" w:hAnsi="Arial" w:cs="Arial"/>
          <w:noProof/>
          <w:lang w:eastAsia="cs-CZ"/>
        </w:rPr>
        <w:t>změna zakládá potenciální rozpor s Hospodářskou komorou ČR jako povinným připomínkovým místem.</w:t>
      </w:r>
    </w:p>
    <w:p w14:paraId="69AF7E74" w14:textId="52BE14B7" w:rsidR="00A055FF" w:rsidRDefault="00A055FF" w:rsidP="00344A25">
      <w:pPr>
        <w:jc w:val="both"/>
        <w:rPr>
          <w:rFonts w:ascii="Arial" w:eastAsiaTheme="minorEastAsia" w:hAnsi="Arial" w:cs="Arial"/>
          <w:noProof/>
          <w:lang w:eastAsia="cs-CZ"/>
        </w:rPr>
      </w:pPr>
      <w:r w:rsidRPr="00A055FF">
        <w:rPr>
          <w:rFonts w:ascii="Arial" w:eastAsiaTheme="minorEastAsia" w:hAnsi="Arial" w:cs="Arial"/>
          <w:noProof/>
          <w:lang w:eastAsia="cs-CZ"/>
        </w:rPr>
        <w:t>K</w:t>
      </w:r>
      <w:r w:rsidR="00FE046D">
        <w:rPr>
          <w:rFonts w:ascii="Arial" w:eastAsiaTheme="minorEastAsia" w:hAnsi="Arial" w:cs="Arial"/>
          <w:noProof/>
          <w:lang w:eastAsia="cs-CZ"/>
        </w:rPr>
        <w:t xml:space="preserve"> poslední verzi textu nového stavebního zákona (verze MMR 3. 4. 2020) uvádí </w:t>
      </w:r>
      <w:r w:rsidR="003D6147">
        <w:rPr>
          <w:rFonts w:ascii="Arial" w:eastAsiaTheme="minorEastAsia" w:hAnsi="Arial" w:cs="Arial"/>
          <w:noProof/>
          <w:lang w:eastAsia="cs-CZ"/>
        </w:rPr>
        <w:t xml:space="preserve">níže </w:t>
      </w:r>
      <w:r w:rsidRPr="00A055FF">
        <w:rPr>
          <w:rFonts w:ascii="Arial" w:eastAsiaTheme="minorEastAsia" w:hAnsi="Arial" w:cs="Arial"/>
          <w:noProof/>
          <w:lang w:eastAsia="cs-CZ"/>
        </w:rPr>
        <w:t xml:space="preserve">Hospodářská komora ČR alespoň základní okruhy </w:t>
      </w:r>
      <w:r w:rsidR="00D83038">
        <w:rPr>
          <w:rFonts w:ascii="Arial" w:eastAsiaTheme="minorEastAsia" w:hAnsi="Arial" w:cs="Arial"/>
          <w:noProof/>
          <w:lang w:eastAsia="cs-CZ"/>
        </w:rPr>
        <w:t xml:space="preserve">zásadních </w:t>
      </w:r>
      <w:r w:rsidRPr="00A055FF">
        <w:rPr>
          <w:rFonts w:ascii="Arial" w:eastAsiaTheme="minorEastAsia" w:hAnsi="Arial" w:cs="Arial"/>
          <w:noProof/>
          <w:lang w:eastAsia="cs-CZ"/>
        </w:rPr>
        <w:t>obecných připomínek, nedostatků a rizik</w:t>
      </w:r>
      <w:r w:rsidR="00FE046D">
        <w:rPr>
          <w:rFonts w:ascii="Arial" w:eastAsiaTheme="minorEastAsia" w:hAnsi="Arial" w:cs="Arial"/>
          <w:noProof/>
          <w:lang w:eastAsia="cs-CZ"/>
        </w:rPr>
        <w:t>.</w:t>
      </w:r>
      <w:r w:rsidRPr="00A055FF">
        <w:rPr>
          <w:rFonts w:ascii="Arial" w:eastAsiaTheme="minorEastAsia" w:hAnsi="Arial" w:cs="Arial"/>
          <w:noProof/>
          <w:lang w:eastAsia="cs-CZ"/>
        </w:rPr>
        <w:t xml:space="preserve"> </w:t>
      </w:r>
      <w:r w:rsidR="00FE046D">
        <w:rPr>
          <w:rFonts w:ascii="Arial" w:eastAsiaTheme="minorEastAsia" w:hAnsi="Arial" w:cs="Arial"/>
          <w:noProof/>
          <w:lang w:eastAsia="cs-CZ"/>
        </w:rPr>
        <w:t>N</w:t>
      </w:r>
      <w:r w:rsidRPr="00A055FF">
        <w:rPr>
          <w:rFonts w:ascii="Arial" w:eastAsiaTheme="minorEastAsia" w:hAnsi="Arial" w:cs="Arial"/>
          <w:noProof/>
          <w:lang w:eastAsia="cs-CZ"/>
        </w:rPr>
        <w:t>ejde tedy o připomínky ke konkrétnímu znění jednotlivých ustanovení</w:t>
      </w:r>
      <w:r w:rsidR="00FE046D">
        <w:rPr>
          <w:rFonts w:ascii="Arial" w:eastAsiaTheme="minorEastAsia" w:hAnsi="Arial" w:cs="Arial"/>
          <w:noProof/>
          <w:lang w:eastAsia="cs-CZ"/>
        </w:rPr>
        <w:t>, ale o nejpodstatnější rozpoznatelné okruhy slabých míst, pochybení a promarněných šancí návrhu nového stavebního zákona</w:t>
      </w:r>
      <w:r w:rsidR="000D3D14">
        <w:rPr>
          <w:rFonts w:ascii="Arial" w:eastAsiaTheme="minorEastAsia" w:hAnsi="Arial" w:cs="Arial"/>
          <w:noProof/>
          <w:lang w:eastAsia="cs-CZ"/>
        </w:rPr>
        <w:t xml:space="preserve"> z pera ministerstva</w:t>
      </w:r>
      <w:r w:rsidR="00FE046D">
        <w:rPr>
          <w:rFonts w:ascii="Arial" w:eastAsiaTheme="minorEastAsia" w:hAnsi="Arial" w:cs="Arial"/>
          <w:noProof/>
          <w:lang w:eastAsia="cs-CZ"/>
        </w:rPr>
        <w:t>.</w:t>
      </w:r>
    </w:p>
    <w:p w14:paraId="612D8346" w14:textId="77777777" w:rsidR="008D10CD" w:rsidRPr="00A055FF" w:rsidRDefault="008D10CD" w:rsidP="00344A25">
      <w:pPr>
        <w:jc w:val="both"/>
        <w:rPr>
          <w:rFonts w:ascii="Arial" w:eastAsiaTheme="minorEastAsia" w:hAnsi="Arial" w:cs="Arial"/>
          <w:noProof/>
          <w:lang w:eastAsia="cs-CZ"/>
        </w:rPr>
      </w:pPr>
    </w:p>
    <w:p w14:paraId="2BC3B92C" w14:textId="77777777" w:rsidR="00A055FF" w:rsidRPr="00344A25" w:rsidRDefault="00A055FF" w:rsidP="00344A25">
      <w:pPr>
        <w:jc w:val="both"/>
        <w:rPr>
          <w:rFonts w:ascii="Arial" w:eastAsiaTheme="minorEastAsia" w:hAnsi="Arial" w:cs="Arial"/>
          <w:b/>
          <w:noProof/>
          <w:lang w:eastAsia="cs-CZ"/>
        </w:rPr>
      </w:pPr>
      <w:r w:rsidRPr="00344A25">
        <w:rPr>
          <w:rFonts w:ascii="Arial" w:eastAsiaTheme="minorEastAsia" w:hAnsi="Arial" w:cs="Arial"/>
          <w:b/>
          <w:noProof/>
          <w:lang w:eastAsia="cs-CZ"/>
        </w:rPr>
        <w:t>A.</w:t>
      </w:r>
      <w:r w:rsidRPr="00344A25">
        <w:rPr>
          <w:rFonts w:ascii="Arial" w:eastAsiaTheme="minorEastAsia" w:hAnsi="Arial" w:cs="Arial"/>
          <w:b/>
          <w:noProof/>
          <w:lang w:eastAsia="cs-CZ"/>
        </w:rPr>
        <w:tab/>
        <w:t>Obecně</w:t>
      </w:r>
    </w:p>
    <w:p w14:paraId="0EA3A28E" w14:textId="690A4799" w:rsidR="00A055FF" w:rsidRPr="00344A25" w:rsidRDefault="00A055FF" w:rsidP="00344A25">
      <w:pPr>
        <w:pStyle w:val="Odstavecseseznamem"/>
        <w:numPr>
          <w:ilvl w:val="0"/>
          <w:numId w:val="15"/>
        </w:numPr>
        <w:jc w:val="both"/>
        <w:rPr>
          <w:rFonts w:ascii="Arial" w:eastAsiaTheme="minorEastAsia" w:hAnsi="Arial" w:cs="Arial"/>
          <w:noProof/>
          <w:lang w:eastAsia="cs-CZ"/>
        </w:rPr>
      </w:pPr>
      <w:r w:rsidRPr="00344A25">
        <w:rPr>
          <w:rFonts w:ascii="Arial" w:eastAsiaTheme="minorEastAsia" w:hAnsi="Arial" w:cs="Arial"/>
          <w:noProof/>
          <w:lang w:eastAsia="cs-CZ"/>
        </w:rPr>
        <w:t>aktuální návrh připomíná minulou „zjednodušující“ novelu MMR za K. Šlechtové (225/2017 Sb.), která měla fatální dopady a vedla k dalšímu zhoršení již tehdy špatného stavu stavebního práva, za které je odpovědné MMR, do současné podoby</w:t>
      </w:r>
    </w:p>
    <w:p w14:paraId="369FE5B2" w14:textId="3ABD277A" w:rsidR="00A055FF" w:rsidRPr="00344A25" w:rsidRDefault="00A055FF" w:rsidP="00344A25">
      <w:pPr>
        <w:pStyle w:val="Odstavecseseznamem"/>
        <w:numPr>
          <w:ilvl w:val="0"/>
          <w:numId w:val="15"/>
        </w:numPr>
        <w:jc w:val="both"/>
        <w:rPr>
          <w:rFonts w:ascii="Arial" w:eastAsiaTheme="minorEastAsia" w:hAnsi="Arial" w:cs="Arial"/>
          <w:noProof/>
          <w:lang w:eastAsia="cs-CZ"/>
        </w:rPr>
      </w:pPr>
      <w:r w:rsidRPr="00344A25">
        <w:rPr>
          <w:rFonts w:ascii="Arial" w:eastAsiaTheme="minorEastAsia" w:hAnsi="Arial" w:cs="Arial"/>
          <w:noProof/>
          <w:lang w:eastAsia="cs-CZ"/>
        </w:rPr>
        <w:lastRenderedPageBreak/>
        <w:t>obrovské zbytnění textu – cca 2 násobný rozsah oproti původnímu návrhu zpracovanému experty HK</w:t>
      </w:r>
      <w:r w:rsidR="008D10CD">
        <w:rPr>
          <w:rFonts w:ascii="Arial" w:eastAsiaTheme="minorEastAsia" w:hAnsi="Arial" w:cs="Arial"/>
          <w:noProof/>
          <w:lang w:eastAsia="cs-CZ"/>
        </w:rPr>
        <w:t xml:space="preserve"> </w:t>
      </w:r>
      <w:r w:rsidRPr="00344A25">
        <w:rPr>
          <w:rFonts w:ascii="Arial" w:eastAsiaTheme="minorEastAsia" w:hAnsi="Arial" w:cs="Arial"/>
          <w:noProof/>
          <w:lang w:eastAsia="cs-CZ"/>
        </w:rPr>
        <w:t>ČR v součinnosti a ve shodě s úředníky MMR, který byl rozeslán 25. 11. 2019 do MPŘ; cca o 100 §§ více než stávající zákon (!)</w:t>
      </w:r>
    </w:p>
    <w:p w14:paraId="2F3BBBC6" w14:textId="7EFCFBAE" w:rsidR="00A055FF" w:rsidRPr="00344A25" w:rsidRDefault="00A055FF" w:rsidP="00344A25">
      <w:pPr>
        <w:pStyle w:val="Odstavecseseznamem"/>
        <w:numPr>
          <w:ilvl w:val="0"/>
          <w:numId w:val="15"/>
        </w:numPr>
        <w:jc w:val="both"/>
        <w:rPr>
          <w:rFonts w:ascii="Arial" w:eastAsiaTheme="minorEastAsia" w:hAnsi="Arial" w:cs="Arial"/>
          <w:noProof/>
          <w:lang w:eastAsia="cs-CZ"/>
        </w:rPr>
      </w:pPr>
      <w:r w:rsidRPr="00344A25">
        <w:rPr>
          <w:rFonts w:ascii="Arial" w:eastAsiaTheme="minorEastAsia" w:hAnsi="Arial" w:cs="Arial"/>
          <w:noProof/>
          <w:lang w:eastAsia="cs-CZ"/>
        </w:rPr>
        <w:t>množství nových pravidel a regulací, která nebyla s nikým konzultována, neprošla připomínkovým řízením a neodpovídají potřebám praxe ani záměru zkvalitnění a zrychlení řízení ani posílení právní jistoty a zlepšení postavení stavebníka v řízení</w:t>
      </w:r>
    </w:p>
    <w:p w14:paraId="219F7A2A" w14:textId="45AEFF9D" w:rsidR="00A055FF" w:rsidRPr="00344A25" w:rsidRDefault="00A055FF" w:rsidP="00344A25">
      <w:pPr>
        <w:pStyle w:val="Odstavecseseznamem"/>
        <w:numPr>
          <w:ilvl w:val="0"/>
          <w:numId w:val="15"/>
        </w:numPr>
        <w:jc w:val="both"/>
        <w:rPr>
          <w:rFonts w:ascii="Arial" w:eastAsiaTheme="minorEastAsia" w:hAnsi="Arial" w:cs="Arial"/>
          <w:noProof/>
          <w:lang w:eastAsia="cs-CZ"/>
        </w:rPr>
      </w:pPr>
      <w:r w:rsidRPr="00344A25">
        <w:rPr>
          <w:rFonts w:ascii="Arial" w:eastAsiaTheme="minorEastAsia" w:hAnsi="Arial" w:cs="Arial"/>
          <w:noProof/>
          <w:lang w:eastAsia="cs-CZ"/>
        </w:rPr>
        <w:t>obrovské množství chyb, nedomyšleností a celková nezpůsobilost návrhu k přijetí</w:t>
      </w:r>
    </w:p>
    <w:p w14:paraId="7E1E71EC" w14:textId="06E85E2C" w:rsidR="00A055FF" w:rsidRPr="00344A25" w:rsidRDefault="00A055FF" w:rsidP="00344A25">
      <w:pPr>
        <w:pStyle w:val="Odstavecseseznamem"/>
        <w:numPr>
          <w:ilvl w:val="0"/>
          <w:numId w:val="15"/>
        </w:numPr>
        <w:jc w:val="both"/>
        <w:rPr>
          <w:rFonts w:ascii="Arial" w:eastAsiaTheme="minorEastAsia" w:hAnsi="Arial" w:cs="Arial"/>
          <w:noProof/>
          <w:lang w:eastAsia="cs-CZ"/>
        </w:rPr>
      </w:pPr>
      <w:r w:rsidRPr="00344A25">
        <w:rPr>
          <w:rFonts w:ascii="Arial" w:eastAsiaTheme="minorEastAsia" w:hAnsi="Arial" w:cs="Arial"/>
          <w:noProof/>
          <w:lang w:eastAsia="cs-CZ"/>
        </w:rPr>
        <w:t>snaha vyhovovat připomínkám bez ohledu na kvalitu a funkčnost návrhu</w:t>
      </w:r>
    </w:p>
    <w:p w14:paraId="710574AD" w14:textId="2FE8BE15" w:rsidR="00A055FF" w:rsidRPr="00344A25" w:rsidRDefault="00A055FF" w:rsidP="00344A25">
      <w:pPr>
        <w:pStyle w:val="Odstavecseseznamem"/>
        <w:numPr>
          <w:ilvl w:val="0"/>
          <w:numId w:val="15"/>
        </w:numPr>
        <w:jc w:val="both"/>
        <w:rPr>
          <w:rFonts w:ascii="Arial" w:eastAsiaTheme="minorEastAsia" w:hAnsi="Arial" w:cs="Arial"/>
          <w:noProof/>
          <w:lang w:eastAsia="cs-CZ"/>
        </w:rPr>
      </w:pPr>
      <w:r w:rsidRPr="00344A25">
        <w:rPr>
          <w:rFonts w:ascii="Arial" w:eastAsiaTheme="minorEastAsia" w:hAnsi="Arial" w:cs="Arial"/>
          <w:noProof/>
          <w:lang w:eastAsia="cs-CZ"/>
        </w:rPr>
        <w:t>pokud by takový návrh prošel, způsobí chaos a další zhoršení beztak katastrofální situace</w:t>
      </w:r>
    </w:p>
    <w:p w14:paraId="7959FA1E" w14:textId="2763B36C" w:rsidR="00A055FF" w:rsidRPr="00344A25" w:rsidRDefault="00A055FF" w:rsidP="00344A25">
      <w:pPr>
        <w:pStyle w:val="Odstavecseseznamem"/>
        <w:numPr>
          <w:ilvl w:val="0"/>
          <w:numId w:val="15"/>
        </w:numPr>
        <w:jc w:val="both"/>
        <w:rPr>
          <w:rFonts w:ascii="Arial" w:eastAsiaTheme="minorEastAsia" w:hAnsi="Arial" w:cs="Arial"/>
          <w:noProof/>
          <w:lang w:eastAsia="cs-CZ"/>
        </w:rPr>
      </w:pPr>
      <w:r w:rsidRPr="00344A25">
        <w:rPr>
          <w:rFonts w:ascii="Arial" w:eastAsiaTheme="minorEastAsia" w:hAnsi="Arial" w:cs="Arial"/>
          <w:noProof/>
          <w:lang w:eastAsia="cs-CZ"/>
        </w:rPr>
        <w:t>výrazné zhoršení situace v Praze, neboť by návrhem došlo ke zrušení PSP bez odpovídající moderní úpravy vycházející z PSP, jak bylo původně zamýšleno</w:t>
      </w:r>
    </w:p>
    <w:p w14:paraId="0BDD590C" w14:textId="77777777" w:rsidR="00A055FF" w:rsidRPr="00344A25" w:rsidRDefault="00A055FF" w:rsidP="00344A25">
      <w:pPr>
        <w:jc w:val="both"/>
        <w:rPr>
          <w:rFonts w:ascii="Arial" w:eastAsiaTheme="minorEastAsia" w:hAnsi="Arial" w:cs="Arial"/>
          <w:b/>
          <w:noProof/>
          <w:lang w:eastAsia="cs-CZ"/>
        </w:rPr>
      </w:pPr>
      <w:r w:rsidRPr="00344A25">
        <w:rPr>
          <w:rFonts w:ascii="Arial" w:eastAsiaTheme="minorEastAsia" w:hAnsi="Arial" w:cs="Arial"/>
          <w:b/>
          <w:noProof/>
          <w:lang w:eastAsia="cs-CZ"/>
        </w:rPr>
        <w:t>Rozpor s věcným záměrem schváleným vládou téměř ve všech podstatných bodech reformy:</w:t>
      </w:r>
    </w:p>
    <w:p w14:paraId="45ADD67C" w14:textId="0DADA92A" w:rsidR="00A055FF" w:rsidRPr="00344A25" w:rsidRDefault="00A055FF" w:rsidP="00344A25">
      <w:pPr>
        <w:pStyle w:val="Odstavecseseznamem"/>
        <w:numPr>
          <w:ilvl w:val="0"/>
          <w:numId w:val="16"/>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zjednodušení zákona – </w:t>
      </w:r>
      <w:r w:rsidRPr="00344A25">
        <w:rPr>
          <w:rFonts w:ascii="Arial" w:eastAsiaTheme="minorEastAsia" w:hAnsi="Arial" w:cs="Arial"/>
          <w:b/>
          <w:noProof/>
          <w:lang w:eastAsia="cs-CZ"/>
        </w:rPr>
        <w:t>NE</w:t>
      </w:r>
    </w:p>
    <w:p w14:paraId="390A2492" w14:textId="0B7DDA2C" w:rsidR="00A055FF" w:rsidRPr="00344A25" w:rsidRDefault="00A055FF" w:rsidP="00344A25">
      <w:pPr>
        <w:pStyle w:val="Odstavecseseznamem"/>
        <w:numPr>
          <w:ilvl w:val="0"/>
          <w:numId w:val="16"/>
        </w:numPr>
        <w:jc w:val="both"/>
        <w:rPr>
          <w:rFonts w:ascii="Arial" w:eastAsiaTheme="minorEastAsia" w:hAnsi="Arial" w:cs="Arial"/>
          <w:b/>
          <w:noProof/>
          <w:lang w:eastAsia="cs-CZ"/>
        </w:rPr>
      </w:pPr>
      <w:r w:rsidRPr="00344A25">
        <w:rPr>
          <w:rFonts w:ascii="Arial" w:eastAsiaTheme="minorEastAsia" w:hAnsi="Arial" w:cs="Arial"/>
          <w:noProof/>
          <w:lang w:eastAsia="cs-CZ"/>
        </w:rPr>
        <w:t xml:space="preserve">zrychlení řízení – </w:t>
      </w:r>
      <w:r w:rsidRPr="00344A25">
        <w:rPr>
          <w:rFonts w:ascii="Arial" w:eastAsiaTheme="minorEastAsia" w:hAnsi="Arial" w:cs="Arial"/>
          <w:b/>
          <w:noProof/>
          <w:lang w:eastAsia="cs-CZ"/>
        </w:rPr>
        <w:t>NE</w:t>
      </w:r>
    </w:p>
    <w:p w14:paraId="5529C07E" w14:textId="299D6ADA" w:rsidR="00A055FF" w:rsidRPr="00344A25" w:rsidRDefault="00A055FF" w:rsidP="00344A25">
      <w:pPr>
        <w:pStyle w:val="Odstavecseseznamem"/>
        <w:numPr>
          <w:ilvl w:val="0"/>
          <w:numId w:val="16"/>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posílení právní jistoty – </w:t>
      </w:r>
      <w:r w:rsidRPr="00344A25">
        <w:rPr>
          <w:rFonts w:ascii="Arial" w:eastAsiaTheme="minorEastAsia" w:hAnsi="Arial" w:cs="Arial"/>
          <w:b/>
          <w:noProof/>
          <w:lang w:eastAsia="cs-CZ"/>
        </w:rPr>
        <w:t>NE</w:t>
      </w:r>
      <w:r w:rsidRPr="00344A25">
        <w:rPr>
          <w:rFonts w:ascii="Arial" w:eastAsiaTheme="minorEastAsia" w:hAnsi="Arial" w:cs="Arial"/>
          <w:noProof/>
          <w:lang w:eastAsia="cs-CZ"/>
        </w:rPr>
        <w:t xml:space="preserve"> </w:t>
      </w:r>
    </w:p>
    <w:p w14:paraId="3DCA783E" w14:textId="21F569F7" w:rsidR="00A055FF" w:rsidRPr="00344A25" w:rsidRDefault="00A055FF" w:rsidP="00344A25">
      <w:pPr>
        <w:pStyle w:val="Odstavecseseznamem"/>
        <w:numPr>
          <w:ilvl w:val="0"/>
          <w:numId w:val="16"/>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princip 1 úřad-1 řízení-1 razítko – </w:t>
      </w:r>
      <w:r w:rsidRPr="00344A25">
        <w:rPr>
          <w:rFonts w:ascii="Arial" w:eastAsiaTheme="minorEastAsia" w:hAnsi="Arial" w:cs="Arial"/>
          <w:b/>
          <w:noProof/>
          <w:lang w:eastAsia="cs-CZ"/>
        </w:rPr>
        <w:t>NE</w:t>
      </w:r>
      <w:r w:rsidRPr="00344A25">
        <w:rPr>
          <w:rFonts w:ascii="Arial" w:eastAsiaTheme="minorEastAsia" w:hAnsi="Arial" w:cs="Arial"/>
          <w:noProof/>
          <w:lang w:eastAsia="cs-CZ"/>
        </w:rPr>
        <w:t xml:space="preserve"> </w:t>
      </w:r>
    </w:p>
    <w:p w14:paraId="1B73AD87" w14:textId="2107ABD7" w:rsidR="00A055FF" w:rsidRPr="00344A25" w:rsidRDefault="00A055FF" w:rsidP="00344A25">
      <w:pPr>
        <w:pStyle w:val="Odstavecseseznamem"/>
        <w:numPr>
          <w:ilvl w:val="0"/>
          <w:numId w:val="16"/>
        </w:numPr>
        <w:jc w:val="both"/>
        <w:rPr>
          <w:rFonts w:ascii="Arial" w:eastAsiaTheme="minorEastAsia" w:hAnsi="Arial" w:cs="Arial"/>
          <w:b/>
          <w:noProof/>
          <w:lang w:eastAsia="cs-CZ"/>
        </w:rPr>
      </w:pPr>
      <w:r w:rsidRPr="00344A25">
        <w:rPr>
          <w:rFonts w:ascii="Arial" w:eastAsiaTheme="minorEastAsia" w:hAnsi="Arial" w:cs="Arial"/>
          <w:noProof/>
          <w:lang w:eastAsia="cs-CZ"/>
        </w:rPr>
        <w:t xml:space="preserve">princip integrace dotčených orgánů – </w:t>
      </w:r>
      <w:r w:rsidRPr="00344A25">
        <w:rPr>
          <w:rFonts w:ascii="Arial" w:eastAsiaTheme="minorEastAsia" w:hAnsi="Arial" w:cs="Arial"/>
          <w:b/>
          <w:noProof/>
          <w:lang w:eastAsia="cs-CZ"/>
        </w:rPr>
        <w:t>velmi omezeně a nezřetelně, mnohdy vůbec</w:t>
      </w:r>
    </w:p>
    <w:p w14:paraId="3FD4E710" w14:textId="346B1EA4" w:rsidR="00A055FF" w:rsidRPr="00344A25" w:rsidRDefault="00A055FF" w:rsidP="00344A25">
      <w:pPr>
        <w:pStyle w:val="Odstavecseseznamem"/>
        <w:numPr>
          <w:ilvl w:val="0"/>
          <w:numId w:val="16"/>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definování veřejného zájmu v územním plánování – </w:t>
      </w:r>
      <w:r w:rsidRPr="00344A25">
        <w:rPr>
          <w:rFonts w:ascii="Arial" w:eastAsiaTheme="minorEastAsia" w:hAnsi="Arial" w:cs="Arial"/>
          <w:b/>
          <w:noProof/>
          <w:lang w:eastAsia="cs-CZ"/>
        </w:rPr>
        <w:t>NE</w:t>
      </w:r>
      <w:r w:rsidRPr="00344A25">
        <w:rPr>
          <w:rFonts w:ascii="Arial" w:eastAsiaTheme="minorEastAsia" w:hAnsi="Arial" w:cs="Arial"/>
          <w:noProof/>
          <w:lang w:eastAsia="cs-CZ"/>
        </w:rPr>
        <w:t xml:space="preserve"> </w:t>
      </w:r>
    </w:p>
    <w:p w14:paraId="65B1348A" w14:textId="35DE622D" w:rsidR="00A055FF" w:rsidRPr="00344A25" w:rsidRDefault="00A055FF" w:rsidP="00344A25">
      <w:pPr>
        <w:pStyle w:val="Odstavecseseznamem"/>
        <w:numPr>
          <w:ilvl w:val="0"/>
          <w:numId w:val="16"/>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posílení postavení samospráv v územním plánování – </w:t>
      </w:r>
      <w:r w:rsidRPr="00344A25">
        <w:rPr>
          <w:rFonts w:ascii="Arial" w:eastAsiaTheme="minorEastAsia" w:hAnsi="Arial" w:cs="Arial"/>
          <w:b/>
          <w:noProof/>
          <w:lang w:eastAsia="cs-CZ"/>
        </w:rPr>
        <w:t>NE</w:t>
      </w:r>
      <w:r w:rsidRPr="00344A25">
        <w:rPr>
          <w:rFonts w:ascii="Arial" w:eastAsiaTheme="minorEastAsia" w:hAnsi="Arial" w:cs="Arial"/>
          <w:noProof/>
          <w:lang w:eastAsia="cs-CZ"/>
        </w:rPr>
        <w:t xml:space="preserve"> </w:t>
      </w:r>
    </w:p>
    <w:p w14:paraId="5A398944" w14:textId="7E1BFC8C" w:rsidR="00A055FF" w:rsidRPr="00344A25" w:rsidRDefault="00A055FF" w:rsidP="00344A25">
      <w:pPr>
        <w:pStyle w:val="Odstavecseseznamem"/>
        <w:numPr>
          <w:ilvl w:val="0"/>
          <w:numId w:val="16"/>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změna formy vydávání územních plánů z OOP na OZV – </w:t>
      </w:r>
      <w:r w:rsidRPr="00344A25">
        <w:rPr>
          <w:rFonts w:ascii="Arial" w:eastAsiaTheme="minorEastAsia" w:hAnsi="Arial" w:cs="Arial"/>
          <w:b/>
          <w:noProof/>
          <w:lang w:eastAsia="cs-CZ"/>
        </w:rPr>
        <w:t>NE</w:t>
      </w:r>
      <w:r w:rsidRPr="00344A25">
        <w:rPr>
          <w:rFonts w:ascii="Arial" w:eastAsiaTheme="minorEastAsia" w:hAnsi="Arial" w:cs="Arial"/>
          <w:noProof/>
          <w:lang w:eastAsia="cs-CZ"/>
        </w:rPr>
        <w:t xml:space="preserve"> </w:t>
      </w:r>
    </w:p>
    <w:p w14:paraId="6C53EE8F" w14:textId="3DF25E82" w:rsidR="00A055FF" w:rsidRPr="00344A25" w:rsidRDefault="00A055FF" w:rsidP="00344A25">
      <w:pPr>
        <w:pStyle w:val="Odstavecseseznamem"/>
        <w:numPr>
          <w:ilvl w:val="0"/>
          <w:numId w:val="16"/>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modernizace a reforma požadavků na výstavbu, inspirace PSP – </w:t>
      </w:r>
      <w:r w:rsidRPr="00344A25">
        <w:rPr>
          <w:rFonts w:ascii="Arial" w:eastAsiaTheme="minorEastAsia" w:hAnsi="Arial" w:cs="Arial"/>
          <w:b/>
          <w:noProof/>
          <w:lang w:eastAsia="cs-CZ"/>
        </w:rPr>
        <w:t>NE</w:t>
      </w:r>
      <w:r w:rsidRPr="00344A25">
        <w:rPr>
          <w:rFonts w:ascii="Arial" w:eastAsiaTheme="minorEastAsia" w:hAnsi="Arial" w:cs="Arial"/>
          <w:noProof/>
          <w:lang w:eastAsia="cs-CZ"/>
        </w:rPr>
        <w:t xml:space="preserve"> </w:t>
      </w:r>
    </w:p>
    <w:p w14:paraId="6AF3E3A0" w14:textId="6C0E387A" w:rsidR="00A055FF" w:rsidRPr="00344A25" w:rsidRDefault="00A055FF" w:rsidP="00344A25">
      <w:pPr>
        <w:pStyle w:val="Odstavecseseznamem"/>
        <w:numPr>
          <w:ilvl w:val="0"/>
          <w:numId w:val="16"/>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jednotný a jediný proces – </w:t>
      </w:r>
      <w:r w:rsidRPr="00344A25">
        <w:rPr>
          <w:rFonts w:ascii="Arial" w:eastAsiaTheme="minorEastAsia" w:hAnsi="Arial" w:cs="Arial"/>
          <w:b/>
          <w:noProof/>
          <w:lang w:eastAsia="cs-CZ"/>
        </w:rPr>
        <w:t>NE</w:t>
      </w:r>
    </w:p>
    <w:p w14:paraId="29705EBF" w14:textId="40CC814C" w:rsidR="00A055FF" w:rsidRPr="00344A25" w:rsidRDefault="00A055FF" w:rsidP="00344A25">
      <w:pPr>
        <w:pStyle w:val="Odstavecseseznamem"/>
        <w:numPr>
          <w:ilvl w:val="0"/>
          <w:numId w:val="16"/>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vymahatelnost lhůt a zamezení průtahům automatickým rozhodnutím v 1. stupni – </w:t>
      </w:r>
      <w:r w:rsidRPr="00344A25">
        <w:rPr>
          <w:rFonts w:ascii="Arial" w:eastAsiaTheme="minorEastAsia" w:hAnsi="Arial" w:cs="Arial"/>
          <w:b/>
          <w:noProof/>
          <w:lang w:eastAsia="cs-CZ"/>
        </w:rPr>
        <w:t xml:space="preserve">NE </w:t>
      </w:r>
    </w:p>
    <w:p w14:paraId="56EF9556" w14:textId="63248914" w:rsidR="00A055FF" w:rsidRPr="00344A25" w:rsidRDefault="00A055FF" w:rsidP="00344A25">
      <w:pPr>
        <w:pStyle w:val="Odstavecseseznamem"/>
        <w:numPr>
          <w:ilvl w:val="0"/>
          <w:numId w:val="16"/>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reforma soudního přezkumu, posílení postavení stavebníka a zamezení obstrukcím – </w:t>
      </w:r>
      <w:r w:rsidRPr="00344A25">
        <w:rPr>
          <w:rFonts w:ascii="Arial" w:eastAsiaTheme="minorEastAsia" w:hAnsi="Arial" w:cs="Arial"/>
          <w:b/>
          <w:noProof/>
          <w:lang w:eastAsia="cs-CZ"/>
        </w:rPr>
        <w:t>NE</w:t>
      </w:r>
      <w:r w:rsidRPr="00344A25">
        <w:rPr>
          <w:rFonts w:ascii="Arial" w:eastAsiaTheme="minorEastAsia" w:hAnsi="Arial" w:cs="Arial"/>
          <w:noProof/>
          <w:lang w:eastAsia="cs-CZ"/>
        </w:rPr>
        <w:t xml:space="preserve"> </w:t>
      </w:r>
    </w:p>
    <w:p w14:paraId="4040D6D0" w14:textId="2EECE3A6" w:rsidR="00A055FF" w:rsidRPr="00344A25" w:rsidRDefault="00A055FF" w:rsidP="00344A25">
      <w:pPr>
        <w:pStyle w:val="Odstavecseseznamem"/>
        <w:numPr>
          <w:ilvl w:val="0"/>
          <w:numId w:val="16"/>
        </w:numPr>
        <w:jc w:val="both"/>
        <w:rPr>
          <w:rFonts w:ascii="Arial" w:eastAsiaTheme="minorEastAsia" w:hAnsi="Arial" w:cs="Arial"/>
          <w:b/>
          <w:noProof/>
          <w:lang w:eastAsia="cs-CZ"/>
        </w:rPr>
      </w:pPr>
      <w:r w:rsidRPr="00344A25">
        <w:rPr>
          <w:rFonts w:ascii="Arial" w:eastAsiaTheme="minorEastAsia" w:hAnsi="Arial" w:cs="Arial"/>
          <w:noProof/>
          <w:lang w:eastAsia="cs-CZ"/>
        </w:rPr>
        <w:t xml:space="preserve">koncentrace a apelace – </w:t>
      </w:r>
      <w:r w:rsidRPr="00344A25">
        <w:rPr>
          <w:rFonts w:ascii="Arial" w:eastAsiaTheme="minorEastAsia" w:hAnsi="Arial" w:cs="Arial"/>
          <w:b/>
          <w:noProof/>
          <w:lang w:eastAsia="cs-CZ"/>
        </w:rPr>
        <w:t>narušena nedodržením principu 1 úřad-1 řízení-1 razítko</w:t>
      </w:r>
    </w:p>
    <w:p w14:paraId="127DC9D9" w14:textId="4967DB85" w:rsidR="00A055FF" w:rsidRPr="00344A25" w:rsidRDefault="00A055FF" w:rsidP="00344A25">
      <w:pPr>
        <w:pStyle w:val="Odstavecseseznamem"/>
        <w:numPr>
          <w:ilvl w:val="0"/>
          <w:numId w:val="16"/>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digitalizace – </w:t>
      </w:r>
      <w:r w:rsidRPr="00344A25">
        <w:rPr>
          <w:rFonts w:ascii="Arial" w:eastAsiaTheme="minorEastAsia" w:hAnsi="Arial" w:cs="Arial"/>
          <w:b/>
          <w:noProof/>
          <w:lang w:eastAsia="cs-CZ"/>
        </w:rPr>
        <w:t>částečně</w:t>
      </w:r>
      <w:r w:rsidRPr="00344A25">
        <w:rPr>
          <w:rFonts w:ascii="Arial" w:eastAsiaTheme="minorEastAsia" w:hAnsi="Arial" w:cs="Arial"/>
          <w:noProof/>
          <w:lang w:eastAsia="cs-CZ"/>
        </w:rPr>
        <w:t xml:space="preserve"> </w:t>
      </w:r>
    </w:p>
    <w:p w14:paraId="7EB54CF7" w14:textId="73FB1312" w:rsidR="00A055FF" w:rsidRPr="00344A25" w:rsidRDefault="00A055FF" w:rsidP="00344A25">
      <w:pPr>
        <w:pStyle w:val="Odstavecseseznamem"/>
        <w:numPr>
          <w:ilvl w:val="0"/>
          <w:numId w:val="16"/>
        </w:numPr>
        <w:jc w:val="both"/>
        <w:rPr>
          <w:rFonts w:ascii="Arial" w:eastAsiaTheme="minorEastAsia" w:hAnsi="Arial" w:cs="Arial"/>
          <w:b/>
          <w:noProof/>
          <w:lang w:eastAsia="cs-CZ"/>
        </w:rPr>
      </w:pPr>
      <w:r w:rsidRPr="00344A25">
        <w:rPr>
          <w:rFonts w:ascii="Arial" w:eastAsiaTheme="minorEastAsia" w:hAnsi="Arial" w:cs="Arial"/>
          <w:noProof/>
          <w:lang w:eastAsia="cs-CZ"/>
        </w:rPr>
        <w:t xml:space="preserve">reforma státní správy – </w:t>
      </w:r>
      <w:r w:rsidRPr="00344A25">
        <w:rPr>
          <w:rFonts w:ascii="Arial" w:eastAsiaTheme="minorEastAsia" w:hAnsi="Arial" w:cs="Arial"/>
          <w:b/>
          <w:noProof/>
          <w:lang w:eastAsia="cs-CZ"/>
        </w:rPr>
        <w:t>NE (vzniká hybrid mnoha úřadů samospráv i státu)</w:t>
      </w:r>
    </w:p>
    <w:p w14:paraId="0C569658" w14:textId="05A041B3" w:rsidR="00A055FF" w:rsidRDefault="00A055FF" w:rsidP="00344A25">
      <w:pPr>
        <w:jc w:val="both"/>
        <w:rPr>
          <w:rFonts w:ascii="Arial" w:eastAsiaTheme="minorEastAsia" w:hAnsi="Arial" w:cs="Arial"/>
          <w:noProof/>
          <w:lang w:eastAsia="cs-CZ"/>
        </w:rPr>
      </w:pPr>
      <w:r w:rsidRPr="00A055FF">
        <w:rPr>
          <w:rFonts w:ascii="Arial" w:eastAsiaTheme="minorEastAsia" w:hAnsi="Arial" w:cs="Arial"/>
          <w:noProof/>
          <w:lang w:eastAsia="cs-CZ"/>
        </w:rPr>
        <w:t xml:space="preserve">Samostatnou kapitolou jsou vady doprovodných zákonů, z nichž se vytrácí jakákoli pozitivní reforma, MMR v nich nemá žádnou koncepci a upravuje je dle připomínek a zájmů resortů. Princip integrace je zcela nezřetelný, nedomyšlený a chaotický, z návrhů často není zřejmé, v čem vlastně spočívá zamýšlená reforma. Ve skutečnosti jde spíše o snahu o zakonzervování stávajícího stavu a stávajícího postavení dotčených orgánů, na čemž má většina resortů zájem. </w:t>
      </w:r>
    </w:p>
    <w:p w14:paraId="7005235A" w14:textId="102A1DCC" w:rsidR="008D10CD" w:rsidRDefault="008D10CD" w:rsidP="00344A25">
      <w:pPr>
        <w:jc w:val="both"/>
        <w:rPr>
          <w:rFonts w:ascii="Arial" w:eastAsiaTheme="minorEastAsia" w:hAnsi="Arial" w:cs="Arial"/>
          <w:noProof/>
          <w:lang w:eastAsia="cs-CZ"/>
        </w:rPr>
      </w:pPr>
    </w:p>
    <w:p w14:paraId="3AC5D661" w14:textId="77777777" w:rsidR="008D10CD" w:rsidRPr="00A055FF" w:rsidRDefault="008D10CD" w:rsidP="00344A25">
      <w:pPr>
        <w:jc w:val="both"/>
        <w:rPr>
          <w:rFonts w:ascii="Arial" w:eastAsiaTheme="minorEastAsia" w:hAnsi="Arial" w:cs="Arial"/>
          <w:noProof/>
          <w:lang w:eastAsia="cs-CZ"/>
        </w:rPr>
      </w:pPr>
    </w:p>
    <w:p w14:paraId="70D2761F" w14:textId="77777777" w:rsidR="00A055FF" w:rsidRPr="00344A25" w:rsidRDefault="00A055FF" w:rsidP="00344A25">
      <w:pPr>
        <w:jc w:val="both"/>
        <w:rPr>
          <w:rFonts w:ascii="Arial" w:eastAsiaTheme="minorEastAsia" w:hAnsi="Arial" w:cs="Arial"/>
          <w:b/>
          <w:noProof/>
          <w:lang w:eastAsia="cs-CZ"/>
        </w:rPr>
      </w:pPr>
      <w:r w:rsidRPr="00344A25">
        <w:rPr>
          <w:rFonts w:ascii="Arial" w:eastAsiaTheme="minorEastAsia" w:hAnsi="Arial" w:cs="Arial"/>
          <w:b/>
          <w:noProof/>
          <w:lang w:eastAsia="cs-CZ"/>
        </w:rPr>
        <w:lastRenderedPageBreak/>
        <w:t>B.</w:t>
      </w:r>
      <w:r w:rsidRPr="00344A25">
        <w:rPr>
          <w:rFonts w:ascii="Arial" w:eastAsiaTheme="minorEastAsia" w:hAnsi="Arial" w:cs="Arial"/>
          <w:b/>
          <w:noProof/>
          <w:lang w:eastAsia="cs-CZ"/>
        </w:rPr>
        <w:tab/>
        <w:t>Státní správa</w:t>
      </w:r>
    </w:p>
    <w:p w14:paraId="550A8064" w14:textId="54F183B2"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navrženou „reformu“ státní správy lze cum grano salis shrnout bohužel do nejhoršího možného výsledku, typického pro státní správu – vše zůstane jako doposud a přidá se k tomu ještě nová soustava dalších státních stavebních úřadů</w:t>
      </w:r>
    </w:p>
    <w:p w14:paraId="0EEC635C" w14:textId="6F3AF5BA"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v reakci na požadavky obcí se vytváří hybridní soustava obecních a státních stavebních úřadů s nejasnými vztahy a působností</w:t>
      </w:r>
    </w:p>
    <w:p w14:paraId="1DAC6A89" w14:textId="2AA19757"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stejné požadavky nyní uplatňujíi kraje a argumentují nesystémovým zásahem</w:t>
      </w:r>
    </w:p>
    <w:p w14:paraId="7A7FC064" w14:textId="3ECA47AD"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ústupky si prosadily resorty, což vedlo k rozštěpení obecných stavebních úřadů, speciálních stavebních úřadů a jiných stavebních úřadů do podobného stavu jako je dnes</w:t>
      </w:r>
    </w:p>
    <w:p w14:paraId="1204A621" w14:textId="47AAB6D4"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vrcholem dezintegrace je zřízení samostatného ÚÚR mimo NSÚ (!)</w:t>
      </w:r>
    </w:p>
    <w:p w14:paraId="576605BF" w14:textId="41BDD008"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zůstává nevyjasněný problém systémové podjatosti </w:t>
      </w:r>
    </w:p>
    <w:p w14:paraId="7FF74E58" w14:textId="678ECDC0"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problém nedostatečné kapacity a kvality úřadů na obcích se nově objevuje i pro stát</w:t>
      </w:r>
    </w:p>
    <w:p w14:paraId="1969F7A2" w14:textId="77777777" w:rsid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chybí systémové řízení obecních a krajských stavebních</w:t>
      </w:r>
      <w:r w:rsidR="00344A25">
        <w:rPr>
          <w:rFonts w:ascii="Arial" w:eastAsiaTheme="minorEastAsia" w:hAnsi="Arial" w:cs="Arial"/>
          <w:noProof/>
          <w:lang w:eastAsia="cs-CZ"/>
        </w:rPr>
        <w:t xml:space="preserve"> úřadů v rámci stavební správy</w:t>
      </w:r>
    </w:p>
    <w:p w14:paraId="4D857DA1" w14:textId="114DC31E"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řada činností není integrována, chybí odpovědnost za koordinaci, chybí odpovědnost za průtahy a nečinnost</w:t>
      </w:r>
    </w:p>
    <w:p w14:paraId="1531667A" w14:textId="6F431164"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nebylo dosaženo principu plné integrace dotčených orgánů</w:t>
      </w:r>
    </w:p>
    <w:p w14:paraId="233519C2" w14:textId="3A12231F"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není doloženo kolik úředníků navíc bude tento přístup vyžadovat ani jaké je pokrytí pracovními kapacitami a financemi</w:t>
      </w:r>
    </w:p>
    <w:p w14:paraId="4729ED3C" w14:textId="4B12F6E2"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zcela nejasné je řešení většiny dotčených orgánů, které by se měly dle politických dohod přesunout z obecních úřadů do krajské stavební správy, ale návrh to neobsahuje;</w:t>
      </w:r>
    </w:p>
    <w:p w14:paraId="2E7EF4C2" w14:textId="5702E4F6"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pokud k tomu dojde, budou v krajském stavebním úřadu integrovány DOSS, ale samotný stavební úřad zůstane obci </w:t>
      </w:r>
    </w:p>
    <w:p w14:paraId="578087C6" w14:textId="4CAD8A5D"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pokud k tomu nedojde, zůstává v zásadě stávající stav doplněný navíc ještě novou soustavou státních stavebních úřadů, takže celkový počet úřadů se zvětší</w:t>
      </w:r>
    </w:p>
    <w:p w14:paraId="78E593D6" w14:textId="64E237BC"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v každém případě se posouzení dotčených veřejných zájmů podle současného návrhu ocitá, stejně jako za současné úpravy „mimo řízení“, při tom veřejné zájmy nebudou posuzovány v kontextu, ale opětovně odděleně</w:t>
      </w:r>
    </w:p>
    <w:p w14:paraId="1A6581F0" w14:textId="77777777" w:rsidR="00A055FF" w:rsidRPr="00344A25" w:rsidRDefault="00A055FF" w:rsidP="00344A25">
      <w:pPr>
        <w:jc w:val="both"/>
        <w:rPr>
          <w:rFonts w:ascii="Arial" w:eastAsiaTheme="minorEastAsia" w:hAnsi="Arial" w:cs="Arial"/>
          <w:b/>
          <w:noProof/>
          <w:lang w:eastAsia="cs-CZ"/>
        </w:rPr>
      </w:pPr>
      <w:r w:rsidRPr="00344A25">
        <w:rPr>
          <w:rFonts w:ascii="Arial" w:eastAsiaTheme="minorEastAsia" w:hAnsi="Arial" w:cs="Arial"/>
          <w:b/>
          <w:noProof/>
          <w:lang w:eastAsia="cs-CZ"/>
        </w:rPr>
        <w:t>C.</w:t>
      </w:r>
      <w:r w:rsidRPr="00344A25">
        <w:rPr>
          <w:rFonts w:ascii="Arial" w:eastAsiaTheme="minorEastAsia" w:hAnsi="Arial" w:cs="Arial"/>
          <w:b/>
          <w:noProof/>
          <w:lang w:eastAsia="cs-CZ"/>
        </w:rPr>
        <w:tab/>
        <w:t>Územní plánování</w:t>
      </w:r>
    </w:p>
    <w:p w14:paraId="43369E24" w14:textId="785F03CF" w:rsidR="00A055FF" w:rsidRPr="00344A25" w:rsidRDefault="00A055FF" w:rsidP="00344A25">
      <w:pPr>
        <w:pStyle w:val="Odstavecseseznamem"/>
        <w:numPr>
          <w:ilvl w:val="0"/>
          <w:numId w:val="18"/>
        </w:numPr>
        <w:jc w:val="both"/>
        <w:rPr>
          <w:rFonts w:ascii="Arial" w:eastAsiaTheme="minorEastAsia" w:hAnsi="Arial" w:cs="Arial"/>
          <w:noProof/>
          <w:lang w:eastAsia="cs-CZ"/>
        </w:rPr>
      </w:pPr>
      <w:r w:rsidRPr="00344A25">
        <w:rPr>
          <w:rFonts w:ascii="Arial" w:eastAsiaTheme="minorEastAsia" w:hAnsi="Arial" w:cs="Arial"/>
          <w:noProof/>
          <w:lang w:eastAsia="cs-CZ"/>
        </w:rPr>
        <w:t>složitější a delší úprava než dnes (!)</w:t>
      </w:r>
    </w:p>
    <w:p w14:paraId="215DAFA2" w14:textId="4C683B85" w:rsidR="00A055FF" w:rsidRPr="00344A25" w:rsidRDefault="00A055FF" w:rsidP="00344A25">
      <w:pPr>
        <w:pStyle w:val="Odstavecseseznamem"/>
        <w:numPr>
          <w:ilvl w:val="0"/>
          <w:numId w:val="18"/>
        </w:numPr>
        <w:jc w:val="both"/>
        <w:rPr>
          <w:rFonts w:ascii="Arial" w:eastAsiaTheme="minorEastAsia" w:hAnsi="Arial" w:cs="Arial"/>
          <w:noProof/>
          <w:lang w:eastAsia="cs-CZ"/>
        </w:rPr>
      </w:pPr>
      <w:r w:rsidRPr="00344A25">
        <w:rPr>
          <w:rFonts w:ascii="Arial" w:eastAsiaTheme="minorEastAsia" w:hAnsi="Arial" w:cs="Arial"/>
          <w:noProof/>
          <w:lang w:eastAsia="cs-CZ"/>
        </w:rPr>
        <w:t>zachování či zhoršení stávajícího stavu</w:t>
      </w:r>
    </w:p>
    <w:p w14:paraId="2227AA8D" w14:textId="26566811" w:rsidR="00A055FF" w:rsidRPr="00344A25" w:rsidRDefault="00A055FF" w:rsidP="00344A25">
      <w:pPr>
        <w:pStyle w:val="Odstavecseseznamem"/>
        <w:numPr>
          <w:ilvl w:val="0"/>
          <w:numId w:val="18"/>
        </w:numPr>
        <w:jc w:val="both"/>
        <w:rPr>
          <w:rFonts w:ascii="Arial" w:eastAsiaTheme="minorEastAsia" w:hAnsi="Arial" w:cs="Arial"/>
          <w:noProof/>
          <w:lang w:eastAsia="cs-CZ"/>
        </w:rPr>
      </w:pPr>
      <w:r w:rsidRPr="00344A25">
        <w:rPr>
          <w:rFonts w:ascii="Arial" w:eastAsiaTheme="minorEastAsia" w:hAnsi="Arial" w:cs="Arial"/>
          <w:noProof/>
          <w:lang w:eastAsia="cs-CZ"/>
        </w:rPr>
        <w:t>nevyužitá příležitost pro výraznější reformu a posílení samospráv</w:t>
      </w:r>
    </w:p>
    <w:p w14:paraId="66C6AEC0" w14:textId="0D4822E6" w:rsidR="00A055FF" w:rsidRPr="00344A25" w:rsidRDefault="00A055FF" w:rsidP="00344A25">
      <w:pPr>
        <w:pStyle w:val="Odstavecseseznamem"/>
        <w:numPr>
          <w:ilvl w:val="0"/>
          <w:numId w:val="18"/>
        </w:numPr>
        <w:jc w:val="both"/>
        <w:rPr>
          <w:rFonts w:ascii="Arial" w:eastAsiaTheme="minorEastAsia" w:hAnsi="Arial" w:cs="Arial"/>
          <w:noProof/>
          <w:lang w:eastAsia="cs-CZ"/>
        </w:rPr>
      </w:pPr>
      <w:r w:rsidRPr="00344A25">
        <w:rPr>
          <w:rFonts w:ascii="Arial" w:eastAsiaTheme="minorEastAsia" w:hAnsi="Arial" w:cs="Arial"/>
          <w:noProof/>
          <w:lang w:eastAsia="cs-CZ"/>
        </w:rPr>
        <w:t>rozpor s myšlenkovým poselstvím nálezu Ústavního soudu ve věci Pec pod Sněžkou, jímž bylo posílení samospráv v oblasti územního plánování</w:t>
      </w:r>
    </w:p>
    <w:p w14:paraId="6F2AD92F" w14:textId="34FEEAC1" w:rsidR="00A055FF" w:rsidRPr="00344A25" w:rsidRDefault="00A055FF" w:rsidP="00344A25">
      <w:pPr>
        <w:pStyle w:val="Odstavecseseznamem"/>
        <w:numPr>
          <w:ilvl w:val="0"/>
          <w:numId w:val="18"/>
        </w:numPr>
        <w:jc w:val="both"/>
        <w:rPr>
          <w:rFonts w:ascii="Arial" w:eastAsiaTheme="minorEastAsia" w:hAnsi="Arial" w:cs="Arial"/>
          <w:noProof/>
          <w:lang w:eastAsia="cs-CZ"/>
        </w:rPr>
      </w:pPr>
      <w:r w:rsidRPr="00344A25">
        <w:rPr>
          <w:rFonts w:ascii="Arial" w:eastAsiaTheme="minorEastAsia" w:hAnsi="Arial" w:cs="Arial"/>
          <w:noProof/>
          <w:lang w:eastAsia="cs-CZ"/>
        </w:rPr>
        <w:t>vypuštění klíčového pravidla, že územní plán stanoví veřejný zájem na využití území, který se pak již znovu nepřezkoumává v povolovacích procesech</w:t>
      </w:r>
    </w:p>
    <w:p w14:paraId="59DACD52" w14:textId="7D9AE5D3" w:rsidR="00A055FF" w:rsidRPr="00344A25" w:rsidRDefault="00A055FF" w:rsidP="00344A25">
      <w:pPr>
        <w:pStyle w:val="Odstavecseseznamem"/>
        <w:numPr>
          <w:ilvl w:val="0"/>
          <w:numId w:val="18"/>
        </w:numPr>
        <w:jc w:val="both"/>
        <w:rPr>
          <w:rFonts w:ascii="Arial" w:eastAsiaTheme="minorEastAsia" w:hAnsi="Arial" w:cs="Arial"/>
          <w:noProof/>
          <w:lang w:eastAsia="cs-CZ"/>
        </w:rPr>
      </w:pPr>
      <w:r w:rsidRPr="00344A25">
        <w:rPr>
          <w:rFonts w:ascii="Arial" w:eastAsiaTheme="minorEastAsia" w:hAnsi="Arial" w:cs="Arial"/>
          <w:noProof/>
          <w:lang w:eastAsia="cs-CZ"/>
        </w:rPr>
        <w:t>negativní dopad do pořizování nových územních plánů velkých měst, zejm. Prahy a Brna</w:t>
      </w:r>
    </w:p>
    <w:p w14:paraId="3A039656" w14:textId="3E5B94A8" w:rsidR="00A055FF" w:rsidRPr="00344A25" w:rsidRDefault="00A055FF" w:rsidP="00344A25">
      <w:pPr>
        <w:pStyle w:val="Odstavecseseznamem"/>
        <w:numPr>
          <w:ilvl w:val="0"/>
          <w:numId w:val="18"/>
        </w:numPr>
        <w:jc w:val="both"/>
        <w:rPr>
          <w:rFonts w:ascii="Arial" w:eastAsiaTheme="minorEastAsia" w:hAnsi="Arial" w:cs="Arial"/>
          <w:noProof/>
          <w:lang w:eastAsia="cs-CZ"/>
        </w:rPr>
      </w:pPr>
      <w:r w:rsidRPr="00344A25">
        <w:rPr>
          <w:rFonts w:ascii="Arial" w:eastAsiaTheme="minorEastAsia" w:hAnsi="Arial" w:cs="Arial"/>
          <w:noProof/>
          <w:lang w:eastAsia="cs-CZ"/>
        </w:rPr>
        <w:t>zásadní zdržení a zvýšení nákladů pro města pořizující územní plány a jejich změny kvůli nutnosti přepracování dokumentů po veřejném projednání dle nové standardizace</w:t>
      </w:r>
    </w:p>
    <w:p w14:paraId="36AB2906" w14:textId="21C1CC8A" w:rsidR="00A055FF" w:rsidRPr="00344A25" w:rsidRDefault="00A055FF" w:rsidP="00344A25">
      <w:pPr>
        <w:pStyle w:val="Odstavecseseznamem"/>
        <w:numPr>
          <w:ilvl w:val="0"/>
          <w:numId w:val="18"/>
        </w:numPr>
        <w:jc w:val="both"/>
        <w:rPr>
          <w:rFonts w:ascii="Arial" w:eastAsiaTheme="minorEastAsia" w:hAnsi="Arial" w:cs="Arial"/>
          <w:noProof/>
          <w:lang w:eastAsia="cs-CZ"/>
        </w:rPr>
      </w:pPr>
      <w:r w:rsidRPr="00344A25">
        <w:rPr>
          <w:rFonts w:ascii="Arial" w:eastAsiaTheme="minorEastAsia" w:hAnsi="Arial" w:cs="Arial"/>
          <w:noProof/>
          <w:lang w:eastAsia="cs-CZ"/>
        </w:rPr>
        <w:t>rozpor s věcným záměrem v otázce formy územních plánů</w:t>
      </w:r>
    </w:p>
    <w:p w14:paraId="5F51A577" w14:textId="4C2C4422" w:rsidR="00A055FF" w:rsidRPr="00344A25" w:rsidRDefault="00A055FF" w:rsidP="00344A25">
      <w:pPr>
        <w:pStyle w:val="Odstavecseseznamem"/>
        <w:numPr>
          <w:ilvl w:val="0"/>
          <w:numId w:val="18"/>
        </w:numPr>
        <w:jc w:val="both"/>
        <w:rPr>
          <w:rFonts w:ascii="Arial" w:eastAsiaTheme="minorEastAsia" w:hAnsi="Arial" w:cs="Arial"/>
          <w:noProof/>
          <w:lang w:eastAsia="cs-CZ"/>
        </w:rPr>
      </w:pPr>
      <w:r w:rsidRPr="00344A25">
        <w:rPr>
          <w:rFonts w:ascii="Arial" w:eastAsiaTheme="minorEastAsia" w:hAnsi="Arial" w:cs="Arial"/>
          <w:noProof/>
          <w:lang w:eastAsia="cs-CZ"/>
        </w:rPr>
        <w:t>absence územních požadavků pro plánování moderních měst a kvalitního veřejného prostoru, které stačilo převzít z PSP a byly ještě ve verzi do MPŘ z 25. 11. 2019</w:t>
      </w:r>
    </w:p>
    <w:p w14:paraId="5A45C1B6" w14:textId="77777777" w:rsidR="00A055FF" w:rsidRPr="00344A25" w:rsidRDefault="00A055FF" w:rsidP="00344A25">
      <w:pPr>
        <w:jc w:val="both"/>
        <w:rPr>
          <w:rFonts w:ascii="Arial" w:eastAsiaTheme="minorEastAsia" w:hAnsi="Arial" w:cs="Arial"/>
          <w:b/>
          <w:noProof/>
          <w:lang w:eastAsia="cs-CZ"/>
        </w:rPr>
      </w:pPr>
      <w:r w:rsidRPr="00344A25">
        <w:rPr>
          <w:rFonts w:ascii="Arial" w:eastAsiaTheme="minorEastAsia" w:hAnsi="Arial" w:cs="Arial"/>
          <w:b/>
          <w:noProof/>
          <w:lang w:eastAsia="cs-CZ"/>
        </w:rPr>
        <w:lastRenderedPageBreak/>
        <w:t>D.</w:t>
      </w:r>
      <w:r w:rsidRPr="00344A25">
        <w:rPr>
          <w:rFonts w:ascii="Arial" w:eastAsiaTheme="minorEastAsia" w:hAnsi="Arial" w:cs="Arial"/>
          <w:b/>
          <w:noProof/>
          <w:lang w:eastAsia="cs-CZ"/>
        </w:rPr>
        <w:tab/>
        <w:t>Hmotné právo (požadavky na výstavbu)</w:t>
      </w:r>
    </w:p>
    <w:p w14:paraId="41254A25" w14:textId="75F74981" w:rsidR="00A055FF" w:rsidRPr="00344A25" w:rsidRDefault="00A055FF" w:rsidP="00344A25">
      <w:pPr>
        <w:pStyle w:val="Odstavecseseznamem"/>
        <w:numPr>
          <w:ilvl w:val="0"/>
          <w:numId w:val="19"/>
        </w:numPr>
        <w:jc w:val="both"/>
        <w:rPr>
          <w:rFonts w:ascii="Arial" w:eastAsiaTheme="minorEastAsia" w:hAnsi="Arial" w:cs="Arial"/>
          <w:noProof/>
          <w:lang w:eastAsia="cs-CZ"/>
        </w:rPr>
      </w:pPr>
      <w:r w:rsidRPr="00344A25">
        <w:rPr>
          <w:rFonts w:ascii="Arial" w:eastAsiaTheme="minorEastAsia" w:hAnsi="Arial" w:cs="Arial"/>
          <w:noProof/>
          <w:lang w:eastAsia="cs-CZ"/>
        </w:rPr>
        <w:t>nevyužitá příležitost pro tolik potřebnou výraznější reformu a modernizaci</w:t>
      </w:r>
    </w:p>
    <w:p w14:paraId="4E9A3DEA" w14:textId="07CB02BF" w:rsidR="00A055FF" w:rsidRPr="00344A25" w:rsidRDefault="00A055FF" w:rsidP="00344A25">
      <w:pPr>
        <w:pStyle w:val="Odstavecseseznamem"/>
        <w:numPr>
          <w:ilvl w:val="0"/>
          <w:numId w:val="19"/>
        </w:numPr>
        <w:jc w:val="both"/>
        <w:rPr>
          <w:rFonts w:ascii="Arial" w:eastAsiaTheme="minorEastAsia" w:hAnsi="Arial" w:cs="Arial"/>
          <w:noProof/>
          <w:lang w:eastAsia="cs-CZ"/>
        </w:rPr>
      </w:pPr>
      <w:r w:rsidRPr="00344A25">
        <w:rPr>
          <w:rFonts w:ascii="Arial" w:eastAsiaTheme="minorEastAsia" w:hAnsi="Arial" w:cs="Arial"/>
          <w:noProof/>
          <w:lang w:eastAsia="cs-CZ"/>
        </w:rPr>
        <w:t>v zásadě jde většinou o přebírání současného stavu a přesun obsahu vyhlášek MMR do zákona</w:t>
      </w:r>
    </w:p>
    <w:p w14:paraId="0E4616FF" w14:textId="77FDF4D6" w:rsidR="00A055FF" w:rsidRPr="00344A25" w:rsidRDefault="00A055FF" w:rsidP="00344A25">
      <w:pPr>
        <w:pStyle w:val="Odstavecseseznamem"/>
        <w:numPr>
          <w:ilvl w:val="0"/>
          <w:numId w:val="19"/>
        </w:numPr>
        <w:jc w:val="both"/>
        <w:rPr>
          <w:rFonts w:ascii="Arial" w:eastAsiaTheme="minorEastAsia" w:hAnsi="Arial" w:cs="Arial"/>
          <w:noProof/>
          <w:lang w:eastAsia="cs-CZ"/>
        </w:rPr>
      </w:pPr>
      <w:r w:rsidRPr="00344A25">
        <w:rPr>
          <w:rFonts w:ascii="Arial" w:eastAsiaTheme="minorEastAsia" w:hAnsi="Arial" w:cs="Arial"/>
          <w:noProof/>
          <w:lang w:eastAsia="cs-CZ"/>
        </w:rPr>
        <w:t>vypuštění moderních územních požadavků na využívání území inspirovaných PSP (kvalitní veřejný prostor, parkování, odstupy staveb, veřejná zeleň atd.)</w:t>
      </w:r>
    </w:p>
    <w:p w14:paraId="31ECF813" w14:textId="3A4ABFCD" w:rsidR="00A055FF" w:rsidRPr="00344A25" w:rsidRDefault="00A055FF" w:rsidP="00344A25">
      <w:pPr>
        <w:pStyle w:val="Odstavecseseznamem"/>
        <w:numPr>
          <w:ilvl w:val="0"/>
          <w:numId w:val="19"/>
        </w:numPr>
        <w:jc w:val="both"/>
        <w:rPr>
          <w:rFonts w:ascii="Arial" w:eastAsiaTheme="minorEastAsia" w:hAnsi="Arial" w:cs="Arial"/>
          <w:noProof/>
          <w:lang w:eastAsia="cs-CZ"/>
        </w:rPr>
      </w:pPr>
      <w:r w:rsidRPr="00344A25">
        <w:rPr>
          <w:rFonts w:ascii="Arial" w:eastAsiaTheme="minorEastAsia" w:hAnsi="Arial" w:cs="Arial"/>
          <w:noProof/>
          <w:lang w:eastAsia="cs-CZ"/>
        </w:rPr>
        <w:t>vypuštění zjednodušujících změn ve vymezení drobných a jednoduchých staveb</w:t>
      </w:r>
    </w:p>
    <w:p w14:paraId="6AF5B6A9" w14:textId="52708BBC" w:rsidR="00A055FF" w:rsidRPr="00344A25" w:rsidRDefault="00A055FF" w:rsidP="00344A25">
      <w:pPr>
        <w:pStyle w:val="Odstavecseseznamem"/>
        <w:numPr>
          <w:ilvl w:val="0"/>
          <w:numId w:val="19"/>
        </w:numPr>
        <w:jc w:val="both"/>
        <w:rPr>
          <w:rFonts w:ascii="Arial" w:eastAsiaTheme="minorEastAsia" w:hAnsi="Arial" w:cs="Arial"/>
          <w:noProof/>
          <w:lang w:eastAsia="cs-CZ"/>
        </w:rPr>
      </w:pPr>
      <w:r w:rsidRPr="00344A25">
        <w:rPr>
          <w:rFonts w:ascii="Arial" w:eastAsiaTheme="minorEastAsia" w:hAnsi="Arial" w:cs="Arial"/>
          <w:noProof/>
          <w:lang w:eastAsia="cs-CZ"/>
        </w:rPr>
        <w:t>vypuštění většiny požadavků na podporu zadržování vody v krajině, OZE apod.</w:t>
      </w:r>
    </w:p>
    <w:p w14:paraId="6F6D4F5A" w14:textId="619D8DAA" w:rsidR="00A055FF" w:rsidRPr="00344A25" w:rsidRDefault="00A055FF" w:rsidP="00344A25">
      <w:pPr>
        <w:pStyle w:val="Odstavecseseznamem"/>
        <w:numPr>
          <w:ilvl w:val="0"/>
          <w:numId w:val="19"/>
        </w:numPr>
        <w:jc w:val="both"/>
        <w:rPr>
          <w:rFonts w:ascii="Arial" w:eastAsiaTheme="minorEastAsia" w:hAnsi="Arial" w:cs="Arial"/>
          <w:noProof/>
          <w:lang w:eastAsia="cs-CZ"/>
        </w:rPr>
      </w:pPr>
      <w:r w:rsidRPr="00344A25">
        <w:rPr>
          <w:rFonts w:ascii="Arial" w:eastAsiaTheme="minorEastAsia" w:hAnsi="Arial" w:cs="Arial"/>
          <w:noProof/>
          <w:lang w:eastAsia="cs-CZ"/>
        </w:rPr>
        <w:t>vypuštění principu koordinace a vážení rozporných veřejných zájmů a povinnosti nalézání řešení mezi nimi</w:t>
      </w:r>
    </w:p>
    <w:p w14:paraId="4F8A2781" w14:textId="09A9468B" w:rsidR="00A055FF" w:rsidRPr="00344A25" w:rsidRDefault="00A055FF" w:rsidP="00344A25">
      <w:pPr>
        <w:pStyle w:val="Odstavecseseznamem"/>
        <w:numPr>
          <w:ilvl w:val="0"/>
          <w:numId w:val="19"/>
        </w:numPr>
        <w:jc w:val="both"/>
        <w:rPr>
          <w:rFonts w:ascii="Arial" w:eastAsiaTheme="minorEastAsia" w:hAnsi="Arial" w:cs="Arial"/>
          <w:noProof/>
          <w:lang w:eastAsia="cs-CZ"/>
        </w:rPr>
      </w:pPr>
      <w:r w:rsidRPr="00344A25">
        <w:rPr>
          <w:rFonts w:ascii="Arial" w:eastAsiaTheme="minorEastAsia" w:hAnsi="Arial" w:cs="Arial"/>
          <w:noProof/>
          <w:lang w:eastAsia="cs-CZ"/>
        </w:rPr>
        <w:t>omezení potřebných výjimek reagujících na specifika území a zástavby</w:t>
      </w:r>
    </w:p>
    <w:p w14:paraId="021A6ACA" w14:textId="2FCF8A85" w:rsidR="00A055FF" w:rsidRPr="00344A25" w:rsidRDefault="00A055FF" w:rsidP="00344A25">
      <w:pPr>
        <w:pStyle w:val="Odstavecseseznamem"/>
        <w:numPr>
          <w:ilvl w:val="0"/>
          <w:numId w:val="19"/>
        </w:numPr>
        <w:jc w:val="both"/>
        <w:rPr>
          <w:rFonts w:ascii="Arial" w:eastAsiaTheme="minorEastAsia" w:hAnsi="Arial" w:cs="Arial"/>
          <w:noProof/>
          <w:lang w:eastAsia="cs-CZ"/>
        </w:rPr>
      </w:pPr>
      <w:r w:rsidRPr="00344A25">
        <w:rPr>
          <w:rFonts w:ascii="Arial" w:eastAsiaTheme="minorEastAsia" w:hAnsi="Arial" w:cs="Arial"/>
          <w:noProof/>
          <w:lang w:eastAsia="cs-CZ"/>
        </w:rPr>
        <w:t>zbytnění technických požadavků omezujících možnosti výstavby</w:t>
      </w:r>
    </w:p>
    <w:p w14:paraId="4A7F8293" w14:textId="77777777" w:rsidR="00A055FF" w:rsidRPr="00344A25" w:rsidRDefault="00A055FF" w:rsidP="00344A25">
      <w:pPr>
        <w:jc w:val="both"/>
        <w:rPr>
          <w:rFonts w:ascii="Arial" w:eastAsiaTheme="minorEastAsia" w:hAnsi="Arial" w:cs="Arial"/>
          <w:b/>
          <w:noProof/>
          <w:lang w:eastAsia="cs-CZ"/>
        </w:rPr>
      </w:pPr>
      <w:r w:rsidRPr="00344A25">
        <w:rPr>
          <w:rFonts w:ascii="Arial" w:eastAsiaTheme="minorEastAsia" w:hAnsi="Arial" w:cs="Arial"/>
          <w:b/>
          <w:noProof/>
          <w:lang w:eastAsia="cs-CZ"/>
        </w:rPr>
        <w:t>E.</w:t>
      </w:r>
      <w:r w:rsidRPr="00344A25">
        <w:rPr>
          <w:rFonts w:ascii="Arial" w:eastAsiaTheme="minorEastAsia" w:hAnsi="Arial" w:cs="Arial"/>
          <w:b/>
          <w:noProof/>
          <w:lang w:eastAsia="cs-CZ"/>
        </w:rPr>
        <w:tab/>
        <w:t>Proces</w:t>
      </w:r>
    </w:p>
    <w:p w14:paraId="18C12E47" w14:textId="5B0F61A8"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opuštění hlavního principu celé reformy 1 úřad-1 řízení-1 razítko</w:t>
      </w:r>
    </w:p>
    <w:p w14:paraId="46192159" w14:textId="106CBCDC"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složité (a v návrhu zatím buď vůbec, nebo velmi nejasně popsané) procesní vztahy mezi množstvím neintegrovaných dotčených orgánů, obecnými stavebními úřady na obcích, obecnou krajskou a nejvyšší státní stavební správou a soustavou speciálních stavebních úřadů</w:t>
      </w:r>
    </w:p>
    <w:p w14:paraId="4D213F14" w14:textId="047EE685"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kombinace nových obecných a speciálních státních stavebních úřadů, zachování většiny obecních stavebních úřadů a případné vyhovění požadavkům krajů na zachování stavebních úřadů a dotčených orgánů na krajských úřadech dosahuje ještě větší složitosti než dnes</w:t>
      </w:r>
    </w:p>
    <w:p w14:paraId="0F7DC3C0" w14:textId="676CD4D5"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nejasné a pluralitní formy výstupů dotčených orgánů i krajské stavební správy – vyjádření, koordinovaná vyjádření, závazná stanoviska, koordinovaná závazná stanoviska… opět jde o více procesních forem s nejasnými vztahy než dnes</w:t>
      </w:r>
    </w:p>
    <w:p w14:paraId="66CB5C4A" w14:textId="716791B6"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nejasnost případných přezkumů podkladových aktů pro rozhodnutí</w:t>
      </w:r>
    </w:p>
    <w:p w14:paraId="22A05DEC" w14:textId="6AEB30C4"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mnohokolejnost a roztříštěnost</w:t>
      </w:r>
    </w:p>
    <w:p w14:paraId="7D3FF4CE" w14:textId="0A43C13F"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z návrhu dosud zcela nejasné workflow pořizování a vyhodnocování různých podkladů od různých úřadů pro rozhodnutí (není jasné, co ani jakým způsobem má opatřovat stavebník/stavební úřad/krajská státní stavební správa/dotčené orgány)</w:t>
      </w:r>
    </w:p>
    <w:p w14:paraId="199F8D62" w14:textId="78A2EEC0"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rozšíření okruhu účastníků i na oprávněné z věcných práv k sousedním pozemkům</w:t>
      </w:r>
    </w:p>
    <w:p w14:paraId="18FF9689" w14:textId="0E386D6F"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vypuštění právně vymahatelných lhůt a prodloužení celého procesu vedoucího k rozhodnutí</w:t>
      </w:r>
    </w:p>
    <w:p w14:paraId="203EC683" w14:textId="3722B557"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vypuštění efektivní ochrany před nečinností schválené ve věcném záměru – vypuštěno promyšlené a dohodnuté automatické rozhodnutí v 1. stupni</w:t>
      </w:r>
    </w:p>
    <w:p w14:paraId="235240AC" w14:textId="729C864A"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automatický přesun řízení z nečinného obecního stavebního úřadu na krajský stavební úřad, kde ovšem poběží řízení znovu od počátku v 1. stupni, čímž dojde reálně naopak k </w:t>
      </w:r>
    </w:p>
    <w:p w14:paraId="2587B8FD" w14:textId="0572940A"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prodloužení řízení</w:t>
      </w:r>
    </w:p>
    <w:p w14:paraId="62D085B8" w14:textId="1669909A"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zahlcení krajské státní stavební správy bez možnosti jakkoli zasáhnout proti nečinným stavebním úřadům na obcích</w:t>
      </w:r>
    </w:p>
    <w:p w14:paraId="74A6CC71" w14:textId="2A12099F" w:rsidR="00A055FF"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přesunu rozhodování o odvoláních proti rozhodnutím krajské státní stavební správy z celého území na Nejvyšší stavební úřad a zahlcení Nejvyššího stavebního úřadu</w:t>
      </w:r>
    </w:p>
    <w:p w14:paraId="1107CF8A" w14:textId="77777777" w:rsidR="008D10CD" w:rsidRPr="00344A25" w:rsidRDefault="008D10CD" w:rsidP="008D10CD">
      <w:pPr>
        <w:pStyle w:val="Odstavecseseznamem"/>
        <w:jc w:val="both"/>
        <w:rPr>
          <w:rFonts w:ascii="Arial" w:eastAsiaTheme="minorEastAsia" w:hAnsi="Arial" w:cs="Arial"/>
          <w:noProof/>
          <w:lang w:eastAsia="cs-CZ"/>
        </w:rPr>
      </w:pPr>
    </w:p>
    <w:p w14:paraId="3DFDFAC5" w14:textId="77777777" w:rsidR="00A055FF" w:rsidRPr="00344A25" w:rsidRDefault="00A055FF" w:rsidP="00344A25">
      <w:pPr>
        <w:jc w:val="both"/>
        <w:rPr>
          <w:rFonts w:ascii="Arial" w:eastAsiaTheme="minorEastAsia" w:hAnsi="Arial" w:cs="Arial"/>
          <w:b/>
          <w:noProof/>
          <w:lang w:eastAsia="cs-CZ"/>
        </w:rPr>
      </w:pPr>
      <w:r w:rsidRPr="00344A25">
        <w:rPr>
          <w:rFonts w:ascii="Arial" w:eastAsiaTheme="minorEastAsia" w:hAnsi="Arial" w:cs="Arial"/>
          <w:b/>
          <w:noProof/>
          <w:lang w:eastAsia="cs-CZ"/>
        </w:rPr>
        <w:lastRenderedPageBreak/>
        <w:t>F.</w:t>
      </w:r>
      <w:r w:rsidRPr="00344A25">
        <w:rPr>
          <w:rFonts w:ascii="Arial" w:eastAsiaTheme="minorEastAsia" w:hAnsi="Arial" w:cs="Arial"/>
          <w:b/>
          <w:noProof/>
          <w:lang w:eastAsia="cs-CZ"/>
        </w:rPr>
        <w:tab/>
        <w:t>Soudní přezkum</w:t>
      </w:r>
    </w:p>
    <w:p w14:paraId="538A2AD0" w14:textId="7765C159" w:rsidR="00A055FF" w:rsidRPr="00344A25" w:rsidRDefault="00A055FF" w:rsidP="00344A25">
      <w:pPr>
        <w:pStyle w:val="Odstavecseseznamem"/>
        <w:numPr>
          <w:ilvl w:val="0"/>
          <w:numId w:val="21"/>
        </w:numPr>
        <w:jc w:val="both"/>
        <w:rPr>
          <w:rFonts w:ascii="Arial" w:eastAsiaTheme="minorEastAsia" w:hAnsi="Arial" w:cs="Arial"/>
          <w:noProof/>
          <w:lang w:eastAsia="cs-CZ"/>
        </w:rPr>
      </w:pPr>
      <w:r w:rsidRPr="00344A25">
        <w:rPr>
          <w:rFonts w:ascii="Arial" w:eastAsiaTheme="minorEastAsia" w:hAnsi="Arial" w:cs="Arial"/>
          <w:noProof/>
          <w:lang w:eastAsia="cs-CZ"/>
        </w:rPr>
        <w:t>nedochází k posílení postavení stavebníka v řízení</w:t>
      </w:r>
    </w:p>
    <w:p w14:paraId="76993FD5" w14:textId="6C4AFC5E" w:rsidR="00A055FF" w:rsidRPr="00344A25" w:rsidRDefault="00A055FF" w:rsidP="00344A25">
      <w:pPr>
        <w:pStyle w:val="Odstavecseseznamem"/>
        <w:numPr>
          <w:ilvl w:val="0"/>
          <w:numId w:val="21"/>
        </w:numPr>
        <w:jc w:val="both"/>
        <w:rPr>
          <w:rFonts w:ascii="Arial" w:eastAsiaTheme="minorEastAsia" w:hAnsi="Arial" w:cs="Arial"/>
          <w:noProof/>
          <w:lang w:eastAsia="cs-CZ"/>
        </w:rPr>
      </w:pPr>
      <w:r w:rsidRPr="00344A25">
        <w:rPr>
          <w:rFonts w:ascii="Arial" w:eastAsiaTheme="minorEastAsia" w:hAnsi="Arial" w:cs="Arial"/>
          <w:noProof/>
          <w:lang w:eastAsia="cs-CZ"/>
        </w:rPr>
        <w:t>nedochází ke zrychlení soudního přezkumu</w:t>
      </w:r>
    </w:p>
    <w:p w14:paraId="7032B926" w14:textId="6568A278" w:rsidR="00A055FF" w:rsidRPr="00344A25" w:rsidRDefault="00A055FF" w:rsidP="00344A25">
      <w:pPr>
        <w:pStyle w:val="Odstavecseseznamem"/>
        <w:numPr>
          <w:ilvl w:val="0"/>
          <w:numId w:val="21"/>
        </w:numPr>
        <w:jc w:val="both"/>
        <w:rPr>
          <w:rFonts w:ascii="Arial" w:eastAsiaTheme="minorEastAsia" w:hAnsi="Arial" w:cs="Arial"/>
          <w:noProof/>
          <w:lang w:eastAsia="cs-CZ"/>
        </w:rPr>
      </w:pPr>
      <w:r w:rsidRPr="00344A25">
        <w:rPr>
          <w:rFonts w:ascii="Arial" w:eastAsiaTheme="minorEastAsia" w:hAnsi="Arial" w:cs="Arial"/>
          <w:noProof/>
          <w:lang w:eastAsia="cs-CZ"/>
        </w:rPr>
        <w:t>nedochází ke specializaci</w:t>
      </w:r>
    </w:p>
    <w:p w14:paraId="64F5E0DC" w14:textId="1417D395" w:rsidR="00A055FF" w:rsidRPr="00344A25" w:rsidRDefault="00A055FF" w:rsidP="00344A25">
      <w:pPr>
        <w:pStyle w:val="Odstavecseseznamem"/>
        <w:numPr>
          <w:ilvl w:val="0"/>
          <w:numId w:val="21"/>
        </w:numPr>
        <w:jc w:val="both"/>
        <w:rPr>
          <w:rFonts w:ascii="Arial" w:eastAsiaTheme="minorEastAsia" w:hAnsi="Arial" w:cs="Arial"/>
          <w:noProof/>
          <w:lang w:eastAsia="cs-CZ"/>
        </w:rPr>
      </w:pPr>
      <w:r w:rsidRPr="00344A25">
        <w:rPr>
          <w:rFonts w:ascii="Arial" w:eastAsiaTheme="minorEastAsia" w:hAnsi="Arial" w:cs="Arial"/>
          <w:noProof/>
          <w:lang w:eastAsia="cs-CZ"/>
        </w:rPr>
        <w:t>není řešen problém alibistického plošného automatického přiznávání odkladného účinku žalob</w:t>
      </w:r>
    </w:p>
    <w:p w14:paraId="47C05414" w14:textId="41BB9793" w:rsidR="00A055FF" w:rsidRPr="00344A25" w:rsidRDefault="00A055FF" w:rsidP="00344A25">
      <w:pPr>
        <w:pStyle w:val="Odstavecseseznamem"/>
        <w:numPr>
          <w:ilvl w:val="0"/>
          <w:numId w:val="21"/>
        </w:numPr>
        <w:jc w:val="both"/>
        <w:rPr>
          <w:rFonts w:ascii="Arial" w:eastAsiaTheme="minorEastAsia" w:hAnsi="Arial" w:cs="Arial"/>
          <w:noProof/>
          <w:lang w:eastAsia="cs-CZ"/>
        </w:rPr>
      </w:pPr>
      <w:r w:rsidRPr="00344A25">
        <w:rPr>
          <w:rFonts w:ascii="Arial" w:eastAsiaTheme="minorEastAsia" w:hAnsi="Arial" w:cs="Arial"/>
          <w:noProof/>
          <w:lang w:eastAsia="cs-CZ"/>
        </w:rPr>
        <w:t>není řešena obrana před zneužíváním práva, podáváním šikanózních žalob a obstrukcemi</w:t>
      </w:r>
    </w:p>
    <w:p w14:paraId="38665C48" w14:textId="5F9C4744" w:rsidR="00A055FF" w:rsidRPr="00344A25" w:rsidRDefault="00A055FF" w:rsidP="00344A25">
      <w:pPr>
        <w:pStyle w:val="Odstavecseseznamem"/>
        <w:numPr>
          <w:ilvl w:val="0"/>
          <w:numId w:val="21"/>
        </w:numPr>
        <w:jc w:val="both"/>
        <w:rPr>
          <w:rFonts w:ascii="Arial" w:eastAsiaTheme="minorEastAsia" w:hAnsi="Arial" w:cs="Arial"/>
          <w:noProof/>
          <w:lang w:eastAsia="cs-CZ"/>
        </w:rPr>
      </w:pPr>
      <w:r w:rsidRPr="00344A25">
        <w:rPr>
          <w:rFonts w:ascii="Arial" w:eastAsiaTheme="minorEastAsia" w:hAnsi="Arial" w:cs="Arial"/>
          <w:noProof/>
          <w:lang w:eastAsia="cs-CZ"/>
        </w:rPr>
        <w:t>vzhledem ke stavu integrace dochází k značnému oslabení dopadu principu koncentrace a apelace</w:t>
      </w:r>
    </w:p>
    <w:p w14:paraId="49EF07E7" w14:textId="50DA8021" w:rsidR="00A055FF" w:rsidRPr="00344A25" w:rsidRDefault="00A055FF" w:rsidP="00344A25">
      <w:pPr>
        <w:pStyle w:val="Odstavecseseznamem"/>
        <w:numPr>
          <w:ilvl w:val="0"/>
          <w:numId w:val="21"/>
        </w:numPr>
        <w:jc w:val="both"/>
        <w:rPr>
          <w:rFonts w:ascii="Arial" w:eastAsiaTheme="minorEastAsia" w:hAnsi="Arial" w:cs="Arial"/>
          <w:noProof/>
          <w:lang w:eastAsia="cs-CZ"/>
        </w:rPr>
      </w:pPr>
      <w:r w:rsidRPr="00344A25">
        <w:rPr>
          <w:rFonts w:ascii="Arial" w:eastAsiaTheme="minorEastAsia" w:hAnsi="Arial" w:cs="Arial"/>
          <w:noProof/>
          <w:lang w:eastAsia="cs-CZ"/>
        </w:rPr>
        <w:t>neupraveny důsledky incidenčního přezkumu a přetrvává nejistota kvůli možnosti neomezeného rušení územních plánů soudem</w:t>
      </w:r>
    </w:p>
    <w:p w14:paraId="720F0946" w14:textId="77777777" w:rsidR="00A055FF" w:rsidRPr="00A055FF" w:rsidRDefault="00A055FF" w:rsidP="00344A25">
      <w:pPr>
        <w:jc w:val="both"/>
        <w:rPr>
          <w:rFonts w:ascii="Arial" w:eastAsiaTheme="minorEastAsia" w:hAnsi="Arial" w:cs="Arial"/>
          <w:noProof/>
          <w:lang w:eastAsia="cs-CZ"/>
        </w:rPr>
      </w:pPr>
    </w:p>
    <w:p w14:paraId="628E171A" w14:textId="50DB791E" w:rsidR="00401513" w:rsidRPr="00A055FF" w:rsidRDefault="00401513" w:rsidP="00344A25">
      <w:pPr>
        <w:jc w:val="both"/>
        <w:rPr>
          <w:rFonts w:ascii="Arial" w:eastAsiaTheme="minorEastAsia" w:hAnsi="Arial" w:cs="Arial"/>
          <w:noProof/>
          <w:lang w:eastAsia="cs-CZ"/>
        </w:rPr>
      </w:pPr>
    </w:p>
    <w:sectPr w:rsidR="00401513" w:rsidRPr="00A055FF" w:rsidSect="00701317">
      <w:headerReference w:type="default" r:id="rId8"/>
      <w:footerReference w:type="default" r:id="rId9"/>
      <w:pgSz w:w="11906" w:h="16838" w:code="9"/>
      <w:pgMar w:top="746" w:right="1418" w:bottom="1418"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C39DF" w14:textId="77777777" w:rsidR="00A44D21" w:rsidRDefault="00A44D21" w:rsidP="00FA7787">
      <w:pPr>
        <w:spacing w:after="0" w:line="240" w:lineRule="auto"/>
      </w:pPr>
      <w:r>
        <w:separator/>
      </w:r>
    </w:p>
  </w:endnote>
  <w:endnote w:type="continuationSeparator" w:id="0">
    <w:p w14:paraId="12FD4BFE" w14:textId="77777777" w:rsidR="00A44D21" w:rsidRDefault="00A44D21"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7FCDF" w14:textId="77777777" w:rsidR="00EC18C0" w:rsidRPr="00701317" w:rsidRDefault="00796B4D" w:rsidP="00701317">
    <w:pPr>
      <w:rPr>
        <w:rFonts w:ascii="Arial" w:eastAsiaTheme="minorEastAsia" w:hAnsi="Arial" w:cs="Arial"/>
        <w:noProof/>
        <w:color w:val="707070"/>
        <w:sz w:val="16"/>
        <w:szCs w:val="16"/>
        <w:lang w:eastAsia="cs-CZ"/>
      </w:rPr>
    </w:pPr>
    <w:r w:rsidRPr="00701317">
      <w:rPr>
        <w:rFonts w:ascii="Arial" w:eastAsiaTheme="minorEastAsia" w:hAnsi="Arial" w:cs="Arial"/>
        <w:noProof/>
        <w:color w:val="707070"/>
        <w:sz w:val="16"/>
        <w:szCs w:val="16"/>
        <w:lang w:eastAsia="cs-CZ"/>
      </w:rPr>
      <w:t xml:space="preserve">SÍLA  /  RESPEKT  /  NEZÁVISLOST </w:t>
    </w:r>
    <w:r w:rsidR="00701317">
      <w:rPr>
        <w:rFonts w:ascii="Arial" w:eastAsiaTheme="minorEastAsia" w:hAnsi="Arial" w:cs="Arial"/>
        <w:noProof/>
        <w:color w:val="707070"/>
        <w:sz w:val="16"/>
        <w:szCs w:val="16"/>
        <w:lang w:eastAsia="cs-CZ"/>
      </w:rPr>
      <w:tab/>
    </w:r>
    <w:r w:rsidR="00701317">
      <w:rPr>
        <w:rFonts w:ascii="Arial" w:eastAsiaTheme="minorEastAsia" w:hAnsi="Arial" w:cs="Arial"/>
        <w:noProof/>
        <w:color w:val="707070"/>
        <w:sz w:val="16"/>
        <w:szCs w:val="16"/>
        <w:lang w:eastAsia="cs-CZ"/>
      </w:rPr>
      <w:tab/>
    </w:r>
    <w:r w:rsidR="00701317">
      <w:rPr>
        <w:rFonts w:ascii="Arial" w:eastAsiaTheme="minorEastAsia" w:hAnsi="Arial" w:cs="Arial"/>
        <w:noProof/>
        <w:color w:val="707070"/>
        <w:sz w:val="16"/>
        <w:szCs w:val="16"/>
        <w:lang w:eastAsia="cs-CZ"/>
      </w:rPr>
      <w:tab/>
      <w:t xml:space="preserve">        </w:t>
    </w:r>
    <w:r w:rsidRPr="00701317">
      <w:rPr>
        <w:rFonts w:ascii="Arial" w:eastAsiaTheme="minorEastAsia" w:hAnsi="Arial" w:cs="Arial"/>
        <w:noProof/>
        <w:color w:val="707070"/>
        <w:sz w:val="16"/>
        <w:szCs w:val="16"/>
        <w:lang w:eastAsia="cs-CZ"/>
      </w:rPr>
      <w:t>Florentinum (recepce A), Na Florenci 2116/15 </w:t>
    </w:r>
    <w:r w:rsidRPr="00701317">
      <w:rPr>
        <w:rFonts w:ascii="Arial" w:eastAsiaTheme="minorEastAsia" w:hAnsi="Arial" w:cs="Arial"/>
        <w:b/>
        <w:bCs/>
        <w:noProof/>
        <w:color w:val="000000"/>
        <w:sz w:val="16"/>
        <w:szCs w:val="16"/>
        <w:lang w:eastAsia="cs-CZ"/>
      </w:rPr>
      <w:t>•</w:t>
    </w:r>
    <w:r w:rsidRPr="00701317">
      <w:rPr>
        <w:rFonts w:ascii="Arial" w:eastAsiaTheme="minorEastAsia" w:hAnsi="Arial" w:cs="Arial"/>
        <w:noProof/>
        <w:color w:val="707070"/>
        <w:sz w:val="16"/>
        <w:szCs w:val="16"/>
        <w:lang w:eastAsia="cs-CZ"/>
      </w:rPr>
      <w:t> 110 00 Praha 1</w:t>
    </w:r>
  </w:p>
  <w:p w14:paraId="0A0CC2B1" w14:textId="77777777" w:rsidR="00FA7787" w:rsidRPr="00EC18C0" w:rsidRDefault="00FA7787" w:rsidP="00796B4D">
    <w:pPr>
      <w:tabs>
        <w:tab w:val="left" w:pos="5355"/>
      </w:tabs>
      <w:suppressAutoHyphens w:val="0"/>
      <w:autoSpaceDE w:val="0"/>
      <w:autoSpaceDN w:val="0"/>
      <w:adjustRightInd w:val="0"/>
      <w:spacing w:after="0" w:line="240" w:lineRule="auto"/>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8533A" w14:textId="77777777" w:rsidR="00A44D21" w:rsidRDefault="00A44D21" w:rsidP="00FA7787">
      <w:pPr>
        <w:spacing w:after="0" w:line="240" w:lineRule="auto"/>
      </w:pPr>
      <w:r>
        <w:separator/>
      </w:r>
    </w:p>
  </w:footnote>
  <w:footnote w:type="continuationSeparator" w:id="0">
    <w:p w14:paraId="45EADFD2" w14:textId="77777777" w:rsidR="00A44D21" w:rsidRDefault="00A44D21" w:rsidP="00FA7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C775F" w14:textId="77777777" w:rsidR="002170A2" w:rsidRDefault="00015B69" w:rsidP="00796B4D">
    <w:pPr>
      <w:pStyle w:val="Zhlav"/>
      <w:tabs>
        <w:tab w:val="clear" w:pos="4536"/>
        <w:tab w:val="clear" w:pos="9072"/>
        <w:tab w:val="left" w:pos="3180"/>
      </w:tabs>
    </w:pPr>
    <w:r w:rsidRPr="00015B69">
      <w:rPr>
        <w:noProof/>
        <w:lang w:eastAsia="cs-CZ"/>
      </w:rPr>
      <w:drawing>
        <wp:inline distT="0" distB="0" distL="0" distR="0" wp14:anchorId="77EE6988" wp14:editId="105385F0">
          <wp:extent cx="1645920" cy="467202"/>
          <wp:effectExtent l="0" t="0" r="0" b="9525"/>
          <wp:docPr id="1" name="Obrázek 1"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r w:rsidR="00796B4D">
      <w:tab/>
    </w:r>
  </w:p>
  <w:p w14:paraId="788C39D2" w14:textId="77777777" w:rsidR="0000736E" w:rsidRDefault="0000736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8629C"/>
    <w:multiLevelType w:val="hybridMultilevel"/>
    <w:tmpl w:val="9AE841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B739D7"/>
    <w:multiLevelType w:val="hybridMultilevel"/>
    <w:tmpl w:val="D2E2C8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3F7003"/>
    <w:multiLevelType w:val="hybridMultilevel"/>
    <w:tmpl w:val="B442B4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9C6428"/>
    <w:multiLevelType w:val="hybridMultilevel"/>
    <w:tmpl w:val="E8EEA2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E1551D"/>
    <w:multiLevelType w:val="hybridMultilevel"/>
    <w:tmpl w:val="042EB60E"/>
    <w:lvl w:ilvl="0" w:tplc="04050005">
      <w:start w:val="1"/>
      <w:numFmt w:val="bullet"/>
      <w:lvlText w:val=""/>
      <w:lvlJc w:val="left"/>
      <w:pPr>
        <w:ind w:left="1430" w:hanging="360"/>
      </w:pPr>
      <w:rPr>
        <w:rFonts w:ascii="Wingdings" w:hAnsi="Wingdings"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5" w15:restartNumberingAfterBreak="0">
    <w:nsid w:val="2345568D"/>
    <w:multiLevelType w:val="hybridMultilevel"/>
    <w:tmpl w:val="310012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DA06FA"/>
    <w:multiLevelType w:val="hybridMultilevel"/>
    <w:tmpl w:val="B1466A1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6D16355"/>
    <w:multiLevelType w:val="hybridMultilevel"/>
    <w:tmpl w:val="21BA54DA"/>
    <w:lvl w:ilvl="0" w:tplc="111803B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CB65D5"/>
    <w:multiLevelType w:val="hybridMultilevel"/>
    <w:tmpl w:val="900217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7D5277"/>
    <w:multiLevelType w:val="hybridMultilevel"/>
    <w:tmpl w:val="6A943C9C"/>
    <w:lvl w:ilvl="0" w:tplc="3FD421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8B473A"/>
    <w:multiLevelType w:val="hybridMultilevel"/>
    <w:tmpl w:val="F948D5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C37ED5"/>
    <w:multiLevelType w:val="hybridMultilevel"/>
    <w:tmpl w:val="77A6A7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551274"/>
    <w:multiLevelType w:val="hybridMultilevel"/>
    <w:tmpl w:val="AB00A6C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7F817DB"/>
    <w:multiLevelType w:val="hybridMultilevel"/>
    <w:tmpl w:val="0018F278"/>
    <w:lvl w:ilvl="0" w:tplc="8B88575A">
      <w:start w:val="1"/>
      <w:numFmt w:val="bullet"/>
      <w:lvlText w:val=""/>
      <w:lvlJc w:val="left"/>
      <w:pPr>
        <w:ind w:left="720" w:hanging="360"/>
      </w:pPr>
      <w:rPr>
        <w:rFonts w:ascii="Symbol" w:hAnsi="Symbol" w:hint="default"/>
        <w:sz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F905B0D"/>
    <w:multiLevelType w:val="hybridMultilevel"/>
    <w:tmpl w:val="9E20BDFE"/>
    <w:lvl w:ilvl="0" w:tplc="7DFCAAB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21640F"/>
    <w:multiLevelType w:val="hybridMultilevel"/>
    <w:tmpl w:val="B27AA9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0AA0A79"/>
    <w:multiLevelType w:val="hybridMultilevel"/>
    <w:tmpl w:val="14E012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5562B1"/>
    <w:multiLevelType w:val="hybridMultilevel"/>
    <w:tmpl w:val="6DCCA8E8"/>
    <w:lvl w:ilvl="0" w:tplc="04050005">
      <w:start w:val="1"/>
      <w:numFmt w:val="bullet"/>
      <w:lvlText w:val=""/>
      <w:lvlJc w:val="left"/>
      <w:pPr>
        <w:ind w:left="1430" w:hanging="360"/>
      </w:pPr>
      <w:rPr>
        <w:rFonts w:ascii="Wingdings" w:hAnsi="Wingdings"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18" w15:restartNumberingAfterBreak="0">
    <w:nsid w:val="782156CE"/>
    <w:multiLevelType w:val="hybridMultilevel"/>
    <w:tmpl w:val="C83649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96446DC"/>
    <w:multiLevelType w:val="hybridMultilevel"/>
    <w:tmpl w:val="3B28E2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057332"/>
    <w:multiLevelType w:val="hybridMultilevel"/>
    <w:tmpl w:val="E28EEB92"/>
    <w:lvl w:ilvl="0" w:tplc="ED10408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9"/>
  </w:num>
  <w:num w:numId="5">
    <w:abstractNumId w:val="19"/>
  </w:num>
  <w:num w:numId="6">
    <w:abstractNumId w:val="14"/>
  </w:num>
  <w:num w:numId="7">
    <w:abstractNumId w:val="7"/>
  </w:num>
  <w:num w:numId="8">
    <w:abstractNumId w:val="3"/>
  </w:num>
  <w:num w:numId="9">
    <w:abstractNumId w:val="5"/>
  </w:num>
  <w:num w:numId="10">
    <w:abstractNumId w:val="0"/>
  </w:num>
  <w:num w:numId="11">
    <w:abstractNumId w:val="16"/>
  </w:num>
  <w:num w:numId="12">
    <w:abstractNumId w:val="6"/>
  </w:num>
  <w:num w:numId="13">
    <w:abstractNumId w:val="13"/>
  </w:num>
  <w:num w:numId="14">
    <w:abstractNumId w:val="20"/>
  </w:num>
  <w:num w:numId="15">
    <w:abstractNumId w:val="17"/>
  </w:num>
  <w:num w:numId="16">
    <w:abstractNumId w:val="4"/>
  </w:num>
  <w:num w:numId="17">
    <w:abstractNumId w:val="12"/>
  </w:num>
  <w:num w:numId="18">
    <w:abstractNumId w:val="15"/>
  </w:num>
  <w:num w:numId="19">
    <w:abstractNumId w:val="8"/>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87"/>
    <w:rsid w:val="0000057E"/>
    <w:rsid w:val="00000C5C"/>
    <w:rsid w:val="00006110"/>
    <w:rsid w:val="00006E7E"/>
    <w:rsid w:val="0000736E"/>
    <w:rsid w:val="00012086"/>
    <w:rsid w:val="00015B69"/>
    <w:rsid w:val="00015D3B"/>
    <w:rsid w:val="00017E3E"/>
    <w:rsid w:val="00020FA3"/>
    <w:rsid w:val="00024B87"/>
    <w:rsid w:val="00035EDB"/>
    <w:rsid w:val="000378F1"/>
    <w:rsid w:val="000379D3"/>
    <w:rsid w:val="00037CDB"/>
    <w:rsid w:val="00040197"/>
    <w:rsid w:val="00040C8F"/>
    <w:rsid w:val="0004160A"/>
    <w:rsid w:val="0004541F"/>
    <w:rsid w:val="00046A0B"/>
    <w:rsid w:val="00051ABE"/>
    <w:rsid w:val="000522F9"/>
    <w:rsid w:val="000579D5"/>
    <w:rsid w:val="00062219"/>
    <w:rsid w:val="0006380B"/>
    <w:rsid w:val="00063EB5"/>
    <w:rsid w:val="0007506D"/>
    <w:rsid w:val="00077F02"/>
    <w:rsid w:val="0008046F"/>
    <w:rsid w:val="00082E30"/>
    <w:rsid w:val="00083274"/>
    <w:rsid w:val="00085D40"/>
    <w:rsid w:val="0008692B"/>
    <w:rsid w:val="00092EA6"/>
    <w:rsid w:val="0009409B"/>
    <w:rsid w:val="000A02FA"/>
    <w:rsid w:val="000A06E1"/>
    <w:rsid w:val="000A1E0D"/>
    <w:rsid w:val="000A2C28"/>
    <w:rsid w:val="000A4F80"/>
    <w:rsid w:val="000A73A5"/>
    <w:rsid w:val="000B12D4"/>
    <w:rsid w:val="000B1F15"/>
    <w:rsid w:val="000B302A"/>
    <w:rsid w:val="000B3F93"/>
    <w:rsid w:val="000C1A66"/>
    <w:rsid w:val="000D3D14"/>
    <w:rsid w:val="000F2691"/>
    <w:rsid w:val="000F3735"/>
    <w:rsid w:val="000F4634"/>
    <w:rsid w:val="000F6433"/>
    <w:rsid w:val="000F7717"/>
    <w:rsid w:val="0010026F"/>
    <w:rsid w:val="0010474A"/>
    <w:rsid w:val="001079EB"/>
    <w:rsid w:val="00107F5D"/>
    <w:rsid w:val="001132D5"/>
    <w:rsid w:val="0011468A"/>
    <w:rsid w:val="001237B9"/>
    <w:rsid w:val="00131A9F"/>
    <w:rsid w:val="00133DD3"/>
    <w:rsid w:val="00136293"/>
    <w:rsid w:val="00136E59"/>
    <w:rsid w:val="001370AA"/>
    <w:rsid w:val="001412CA"/>
    <w:rsid w:val="00143E74"/>
    <w:rsid w:val="00143E98"/>
    <w:rsid w:val="00157980"/>
    <w:rsid w:val="00161F5A"/>
    <w:rsid w:val="00163188"/>
    <w:rsid w:val="00164325"/>
    <w:rsid w:val="001666FF"/>
    <w:rsid w:val="00173D99"/>
    <w:rsid w:val="00175DF9"/>
    <w:rsid w:val="001816A8"/>
    <w:rsid w:val="001826CD"/>
    <w:rsid w:val="001842D7"/>
    <w:rsid w:val="00184985"/>
    <w:rsid w:val="0019114D"/>
    <w:rsid w:val="00195504"/>
    <w:rsid w:val="00197592"/>
    <w:rsid w:val="001A39F2"/>
    <w:rsid w:val="001B27DF"/>
    <w:rsid w:val="001B702F"/>
    <w:rsid w:val="001C01CB"/>
    <w:rsid w:val="001C3054"/>
    <w:rsid w:val="001D3F72"/>
    <w:rsid w:val="001D426D"/>
    <w:rsid w:val="001E3AF1"/>
    <w:rsid w:val="002000E3"/>
    <w:rsid w:val="002026F9"/>
    <w:rsid w:val="002170A2"/>
    <w:rsid w:val="002232D9"/>
    <w:rsid w:val="0023132C"/>
    <w:rsid w:val="00240B3A"/>
    <w:rsid w:val="00242295"/>
    <w:rsid w:val="00242566"/>
    <w:rsid w:val="00251BF6"/>
    <w:rsid w:val="00252D53"/>
    <w:rsid w:val="00255AC8"/>
    <w:rsid w:val="002570E8"/>
    <w:rsid w:val="0026167D"/>
    <w:rsid w:val="00264E42"/>
    <w:rsid w:val="00277BC5"/>
    <w:rsid w:val="00281D4D"/>
    <w:rsid w:val="00283A1C"/>
    <w:rsid w:val="00284311"/>
    <w:rsid w:val="00287F06"/>
    <w:rsid w:val="00293B04"/>
    <w:rsid w:val="00294519"/>
    <w:rsid w:val="002947D7"/>
    <w:rsid w:val="002A3BF5"/>
    <w:rsid w:val="002A4074"/>
    <w:rsid w:val="002A4814"/>
    <w:rsid w:val="002A56FD"/>
    <w:rsid w:val="002A792E"/>
    <w:rsid w:val="002B0F96"/>
    <w:rsid w:val="002B64FA"/>
    <w:rsid w:val="002C3C75"/>
    <w:rsid w:val="002C4EDC"/>
    <w:rsid w:val="002C5AEA"/>
    <w:rsid w:val="002C6ECB"/>
    <w:rsid w:val="002C7880"/>
    <w:rsid w:val="002D578D"/>
    <w:rsid w:val="002E357A"/>
    <w:rsid w:val="002E6FFA"/>
    <w:rsid w:val="002F15EB"/>
    <w:rsid w:val="002F40B1"/>
    <w:rsid w:val="002F4227"/>
    <w:rsid w:val="002F4B45"/>
    <w:rsid w:val="002F664A"/>
    <w:rsid w:val="002F6E58"/>
    <w:rsid w:val="0030315F"/>
    <w:rsid w:val="003054F0"/>
    <w:rsid w:val="003055FF"/>
    <w:rsid w:val="00306D28"/>
    <w:rsid w:val="00311C08"/>
    <w:rsid w:val="00321D6B"/>
    <w:rsid w:val="0033352B"/>
    <w:rsid w:val="00337154"/>
    <w:rsid w:val="00344A25"/>
    <w:rsid w:val="003476FB"/>
    <w:rsid w:val="00354DE2"/>
    <w:rsid w:val="00355A1B"/>
    <w:rsid w:val="00355A7D"/>
    <w:rsid w:val="003600E4"/>
    <w:rsid w:val="00373541"/>
    <w:rsid w:val="00373866"/>
    <w:rsid w:val="003778AD"/>
    <w:rsid w:val="00377BDE"/>
    <w:rsid w:val="00380E5E"/>
    <w:rsid w:val="00384CDF"/>
    <w:rsid w:val="003A0BEC"/>
    <w:rsid w:val="003A31E1"/>
    <w:rsid w:val="003A3C88"/>
    <w:rsid w:val="003A4C57"/>
    <w:rsid w:val="003A4FFA"/>
    <w:rsid w:val="003B1BC9"/>
    <w:rsid w:val="003B2F65"/>
    <w:rsid w:val="003B3888"/>
    <w:rsid w:val="003B41F7"/>
    <w:rsid w:val="003B4CC2"/>
    <w:rsid w:val="003B5F00"/>
    <w:rsid w:val="003B6107"/>
    <w:rsid w:val="003B61E2"/>
    <w:rsid w:val="003B6218"/>
    <w:rsid w:val="003B6718"/>
    <w:rsid w:val="003C133D"/>
    <w:rsid w:val="003C2786"/>
    <w:rsid w:val="003D2FA1"/>
    <w:rsid w:val="003D6016"/>
    <w:rsid w:val="003D6147"/>
    <w:rsid w:val="003D71D1"/>
    <w:rsid w:val="003E20F0"/>
    <w:rsid w:val="003E2FC4"/>
    <w:rsid w:val="003E69DB"/>
    <w:rsid w:val="003E6EF2"/>
    <w:rsid w:val="003E73A8"/>
    <w:rsid w:val="003F01FF"/>
    <w:rsid w:val="003F6B49"/>
    <w:rsid w:val="003F78E6"/>
    <w:rsid w:val="004004DD"/>
    <w:rsid w:val="00401513"/>
    <w:rsid w:val="00406FBD"/>
    <w:rsid w:val="00412441"/>
    <w:rsid w:val="00413C9C"/>
    <w:rsid w:val="00416920"/>
    <w:rsid w:val="00416B44"/>
    <w:rsid w:val="00417587"/>
    <w:rsid w:val="00420D9B"/>
    <w:rsid w:val="00423C35"/>
    <w:rsid w:val="00435DDB"/>
    <w:rsid w:val="00436137"/>
    <w:rsid w:val="00441C48"/>
    <w:rsid w:val="0044234D"/>
    <w:rsid w:val="004425B7"/>
    <w:rsid w:val="00443E90"/>
    <w:rsid w:val="0044414A"/>
    <w:rsid w:val="00446A00"/>
    <w:rsid w:val="00451B91"/>
    <w:rsid w:val="00451CC3"/>
    <w:rsid w:val="0045211D"/>
    <w:rsid w:val="004526BC"/>
    <w:rsid w:val="00455E1E"/>
    <w:rsid w:val="00457185"/>
    <w:rsid w:val="004612D6"/>
    <w:rsid w:val="00471BDE"/>
    <w:rsid w:val="00474284"/>
    <w:rsid w:val="00475FE3"/>
    <w:rsid w:val="0048610C"/>
    <w:rsid w:val="00486ABD"/>
    <w:rsid w:val="00486CA2"/>
    <w:rsid w:val="004905F8"/>
    <w:rsid w:val="004917C3"/>
    <w:rsid w:val="00493A19"/>
    <w:rsid w:val="0049414F"/>
    <w:rsid w:val="004A0D3A"/>
    <w:rsid w:val="004A0F6F"/>
    <w:rsid w:val="004A2B1F"/>
    <w:rsid w:val="004B0A2A"/>
    <w:rsid w:val="004B3E44"/>
    <w:rsid w:val="004B660C"/>
    <w:rsid w:val="004C0EDD"/>
    <w:rsid w:val="004C3190"/>
    <w:rsid w:val="004C6FE6"/>
    <w:rsid w:val="004C70EA"/>
    <w:rsid w:val="004D0A45"/>
    <w:rsid w:val="004D1477"/>
    <w:rsid w:val="004D5C8E"/>
    <w:rsid w:val="004D600A"/>
    <w:rsid w:val="004F3509"/>
    <w:rsid w:val="004F3D22"/>
    <w:rsid w:val="005013D5"/>
    <w:rsid w:val="00502119"/>
    <w:rsid w:val="00504534"/>
    <w:rsid w:val="00510515"/>
    <w:rsid w:val="005172C9"/>
    <w:rsid w:val="00523037"/>
    <w:rsid w:val="005278C4"/>
    <w:rsid w:val="00527F50"/>
    <w:rsid w:val="00535E3D"/>
    <w:rsid w:val="00545F0E"/>
    <w:rsid w:val="005505F1"/>
    <w:rsid w:val="005556B4"/>
    <w:rsid w:val="00565DBE"/>
    <w:rsid w:val="005666FD"/>
    <w:rsid w:val="005674FD"/>
    <w:rsid w:val="005767DB"/>
    <w:rsid w:val="00577020"/>
    <w:rsid w:val="00577F62"/>
    <w:rsid w:val="00580218"/>
    <w:rsid w:val="00580511"/>
    <w:rsid w:val="005838DF"/>
    <w:rsid w:val="005867FF"/>
    <w:rsid w:val="0058737E"/>
    <w:rsid w:val="005873F8"/>
    <w:rsid w:val="00596BB4"/>
    <w:rsid w:val="005A2FF9"/>
    <w:rsid w:val="005A30E6"/>
    <w:rsid w:val="005A450C"/>
    <w:rsid w:val="005A6561"/>
    <w:rsid w:val="005B0BFF"/>
    <w:rsid w:val="005B2F9C"/>
    <w:rsid w:val="005C0A70"/>
    <w:rsid w:val="005C5F5D"/>
    <w:rsid w:val="005C6D83"/>
    <w:rsid w:val="005D0ABA"/>
    <w:rsid w:val="005D0DE2"/>
    <w:rsid w:val="005D1582"/>
    <w:rsid w:val="005D5C6A"/>
    <w:rsid w:val="005D6BB3"/>
    <w:rsid w:val="005E18A4"/>
    <w:rsid w:val="005E39D7"/>
    <w:rsid w:val="005E4217"/>
    <w:rsid w:val="005F2403"/>
    <w:rsid w:val="005F31D4"/>
    <w:rsid w:val="005F7659"/>
    <w:rsid w:val="00611112"/>
    <w:rsid w:val="00612DF1"/>
    <w:rsid w:val="006142F2"/>
    <w:rsid w:val="00615E82"/>
    <w:rsid w:val="00615FAA"/>
    <w:rsid w:val="00617561"/>
    <w:rsid w:val="00620247"/>
    <w:rsid w:val="00621AD1"/>
    <w:rsid w:val="00630B6C"/>
    <w:rsid w:val="006366B8"/>
    <w:rsid w:val="00640E9C"/>
    <w:rsid w:val="00644B52"/>
    <w:rsid w:val="00645BBE"/>
    <w:rsid w:val="00646730"/>
    <w:rsid w:val="006472B0"/>
    <w:rsid w:val="006557C6"/>
    <w:rsid w:val="00655A71"/>
    <w:rsid w:val="00661D63"/>
    <w:rsid w:val="00673A41"/>
    <w:rsid w:val="00673BD7"/>
    <w:rsid w:val="00675009"/>
    <w:rsid w:val="00675B67"/>
    <w:rsid w:val="0068228C"/>
    <w:rsid w:val="006857F8"/>
    <w:rsid w:val="006A163C"/>
    <w:rsid w:val="006A32CF"/>
    <w:rsid w:val="006A5C85"/>
    <w:rsid w:val="006B06EB"/>
    <w:rsid w:val="006B1190"/>
    <w:rsid w:val="006B14EA"/>
    <w:rsid w:val="006B539C"/>
    <w:rsid w:val="006C234B"/>
    <w:rsid w:val="006C542B"/>
    <w:rsid w:val="006C713E"/>
    <w:rsid w:val="006C72BA"/>
    <w:rsid w:val="006D220E"/>
    <w:rsid w:val="006D2671"/>
    <w:rsid w:val="006E0137"/>
    <w:rsid w:val="006E0F66"/>
    <w:rsid w:val="006E1E16"/>
    <w:rsid w:val="006E23B0"/>
    <w:rsid w:val="006F4C45"/>
    <w:rsid w:val="00701317"/>
    <w:rsid w:val="00701D13"/>
    <w:rsid w:val="00701F30"/>
    <w:rsid w:val="00702395"/>
    <w:rsid w:val="007059AC"/>
    <w:rsid w:val="00707B8A"/>
    <w:rsid w:val="0071276E"/>
    <w:rsid w:val="00713852"/>
    <w:rsid w:val="00714171"/>
    <w:rsid w:val="007141BA"/>
    <w:rsid w:val="007248C1"/>
    <w:rsid w:val="00725844"/>
    <w:rsid w:val="00726FDB"/>
    <w:rsid w:val="00733759"/>
    <w:rsid w:val="00735A58"/>
    <w:rsid w:val="00735AD8"/>
    <w:rsid w:val="00736A7C"/>
    <w:rsid w:val="007404C9"/>
    <w:rsid w:val="00745BDE"/>
    <w:rsid w:val="007476E9"/>
    <w:rsid w:val="00747814"/>
    <w:rsid w:val="00750ACE"/>
    <w:rsid w:val="00752DF5"/>
    <w:rsid w:val="00757F0D"/>
    <w:rsid w:val="007601E3"/>
    <w:rsid w:val="007604F3"/>
    <w:rsid w:val="007608A9"/>
    <w:rsid w:val="0076192C"/>
    <w:rsid w:val="00763849"/>
    <w:rsid w:val="0077324F"/>
    <w:rsid w:val="0077550D"/>
    <w:rsid w:val="00775678"/>
    <w:rsid w:val="007813E2"/>
    <w:rsid w:val="00782913"/>
    <w:rsid w:val="00783447"/>
    <w:rsid w:val="00783D8D"/>
    <w:rsid w:val="0078400B"/>
    <w:rsid w:val="0078564D"/>
    <w:rsid w:val="00785AE1"/>
    <w:rsid w:val="00785BDC"/>
    <w:rsid w:val="007867E3"/>
    <w:rsid w:val="00786C1C"/>
    <w:rsid w:val="0078740D"/>
    <w:rsid w:val="00792F67"/>
    <w:rsid w:val="00796B4D"/>
    <w:rsid w:val="007A3EC2"/>
    <w:rsid w:val="007A67DC"/>
    <w:rsid w:val="007B7662"/>
    <w:rsid w:val="007D42B2"/>
    <w:rsid w:val="007D468E"/>
    <w:rsid w:val="007D679D"/>
    <w:rsid w:val="007D7635"/>
    <w:rsid w:val="007D7AEC"/>
    <w:rsid w:val="007E3ECB"/>
    <w:rsid w:val="007E3FF8"/>
    <w:rsid w:val="007E4338"/>
    <w:rsid w:val="007F0E1D"/>
    <w:rsid w:val="007F305B"/>
    <w:rsid w:val="007F5859"/>
    <w:rsid w:val="007F63B5"/>
    <w:rsid w:val="007F72E8"/>
    <w:rsid w:val="007F76BB"/>
    <w:rsid w:val="008001E8"/>
    <w:rsid w:val="00801CBB"/>
    <w:rsid w:val="008027B8"/>
    <w:rsid w:val="00803FF9"/>
    <w:rsid w:val="00804CFF"/>
    <w:rsid w:val="008101AB"/>
    <w:rsid w:val="00810C59"/>
    <w:rsid w:val="00811F8B"/>
    <w:rsid w:val="008142B1"/>
    <w:rsid w:val="00814E52"/>
    <w:rsid w:val="00823380"/>
    <w:rsid w:val="00830936"/>
    <w:rsid w:val="008609E8"/>
    <w:rsid w:val="008765CC"/>
    <w:rsid w:val="008776C6"/>
    <w:rsid w:val="00881EEF"/>
    <w:rsid w:val="00882E0C"/>
    <w:rsid w:val="008841D4"/>
    <w:rsid w:val="00886CF6"/>
    <w:rsid w:val="00890166"/>
    <w:rsid w:val="00895A10"/>
    <w:rsid w:val="008965DF"/>
    <w:rsid w:val="008A3536"/>
    <w:rsid w:val="008B0118"/>
    <w:rsid w:val="008B459E"/>
    <w:rsid w:val="008C190D"/>
    <w:rsid w:val="008C3C03"/>
    <w:rsid w:val="008C54B0"/>
    <w:rsid w:val="008D10CD"/>
    <w:rsid w:val="008D1398"/>
    <w:rsid w:val="008D3263"/>
    <w:rsid w:val="008D3CE5"/>
    <w:rsid w:val="008D4767"/>
    <w:rsid w:val="008D4BDD"/>
    <w:rsid w:val="008D5013"/>
    <w:rsid w:val="008E5616"/>
    <w:rsid w:val="008E5F4C"/>
    <w:rsid w:val="008E767C"/>
    <w:rsid w:val="008F1F41"/>
    <w:rsid w:val="008F6BC1"/>
    <w:rsid w:val="00904294"/>
    <w:rsid w:val="00905DAA"/>
    <w:rsid w:val="00905F4D"/>
    <w:rsid w:val="00910BAF"/>
    <w:rsid w:val="00924186"/>
    <w:rsid w:val="00926FCA"/>
    <w:rsid w:val="0092768C"/>
    <w:rsid w:val="00937232"/>
    <w:rsid w:val="00937DB4"/>
    <w:rsid w:val="00940B1D"/>
    <w:rsid w:val="00940D88"/>
    <w:rsid w:val="009458C7"/>
    <w:rsid w:val="00951587"/>
    <w:rsid w:val="009528D6"/>
    <w:rsid w:val="00955211"/>
    <w:rsid w:val="0095614E"/>
    <w:rsid w:val="00956474"/>
    <w:rsid w:val="0096086D"/>
    <w:rsid w:val="0096474D"/>
    <w:rsid w:val="00965B6D"/>
    <w:rsid w:val="00966BDC"/>
    <w:rsid w:val="009703B4"/>
    <w:rsid w:val="009772B3"/>
    <w:rsid w:val="00977593"/>
    <w:rsid w:val="00980C83"/>
    <w:rsid w:val="00981F13"/>
    <w:rsid w:val="00985214"/>
    <w:rsid w:val="0098590C"/>
    <w:rsid w:val="0098697F"/>
    <w:rsid w:val="00986B4E"/>
    <w:rsid w:val="009916F3"/>
    <w:rsid w:val="00995551"/>
    <w:rsid w:val="00995F0E"/>
    <w:rsid w:val="0099617F"/>
    <w:rsid w:val="009A12CA"/>
    <w:rsid w:val="009A1600"/>
    <w:rsid w:val="009A5C8D"/>
    <w:rsid w:val="009B001B"/>
    <w:rsid w:val="009B06EE"/>
    <w:rsid w:val="009B0BCA"/>
    <w:rsid w:val="009B535A"/>
    <w:rsid w:val="009C0422"/>
    <w:rsid w:val="009C7669"/>
    <w:rsid w:val="009D06C0"/>
    <w:rsid w:val="009D7F7E"/>
    <w:rsid w:val="009E2C11"/>
    <w:rsid w:val="009E534F"/>
    <w:rsid w:val="009F13C8"/>
    <w:rsid w:val="009F45B2"/>
    <w:rsid w:val="00A03D11"/>
    <w:rsid w:val="00A055FF"/>
    <w:rsid w:val="00A103B1"/>
    <w:rsid w:val="00A11A6C"/>
    <w:rsid w:val="00A12B11"/>
    <w:rsid w:val="00A15C8F"/>
    <w:rsid w:val="00A17BD9"/>
    <w:rsid w:val="00A23674"/>
    <w:rsid w:val="00A23C05"/>
    <w:rsid w:val="00A24806"/>
    <w:rsid w:val="00A44C3E"/>
    <w:rsid w:val="00A44D21"/>
    <w:rsid w:val="00A45280"/>
    <w:rsid w:val="00A45A3A"/>
    <w:rsid w:val="00A4793F"/>
    <w:rsid w:val="00A515B4"/>
    <w:rsid w:val="00A54359"/>
    <w:rsid w:val="00A66151"/>
    <w:rsid w:val="00A667A8"/>
    <w:rsid w:val="00A676CD"/>
    <w:rsid w:val="00A775B5"/>
    <w:rsid w:val="00A80AF0"/>
    <w:rsid w:val="00A901F6"/>
    <w:rsid w:val="00A95B29"/>
    <w:rsid w:val="00A965AC"/>
    <w:rsid w:val="00A97125"/>
    <w:rsid w:val="00A97953"/>
    <w:rsid w:val="00AA2F14"/>
    <w:rsid w:val="00AA4F3D"/>
    <w:rsid w:val="00AB5D7D"/>
    <w:rsid w:val="00AC2E9F"/>
    <w:rsid w:val="00AC317A"/>
    <w:rsid w:val="00AC4653"/>
    <w:rsid w:val="00AD2D7D"/>
    <w:rsid w:val="00AD4BD3"/>
    <w:rsid w:val="00AD507E"/>
    <w:rsid w:val="00AD52A5"/>
    <w:rsid w:val="00AE1FEB"/>
    <w:rsid w:val="00AE2A8E"/>
    <w:rsid w:val="00AE4982"/>
    <w:rsid w:val="00AF16C1"/>
    <w:rsid w:val="00AF1D60"/>
    <w:rsid w:val="00AF3F58"/>
    <w:rsid w:val="00AF45E0"/>
    <w:rsid w:val="00B024B0"/>
    <w:rsid w:val="00B02BB6"/>
    <w:rsid w:val="00B03450"/>
    <w:rsid w:val="00B03CF7"/>
    <w:rsid w:val="00B04535"/>
    <w:rsid w:val="00B0470D"/>
    <w:rsid w:val="00B0593D"/>
    <w:rsid w:val="00B10F4D"/>
    <w:rsid w:val="00B12E14"/>
    <w:rsid w:val="00B13EB3"/>
    <w:rsid w:val="00B23C01"/>
    <w:rsid w:val="00B240CA"/>
    <w:rsid w:val="00B27D58"/>
    <w:rsid w:val="00B31047"/>
    <w:rsid w:val="00B32C00"/>
    <w:rsid w:val="00B36121"/>
    <w:rsid w:val="00B37D9C"/>
    <w:rsid w:val="00B425AA"/>
    <w:rsid w:val="00B43846"/>
    <w:rsid w:val="00B43852"/>
    <w:rsid w:val="00B47121"/>
    <w:rsid w:val="00B5565C"/>
    <w:rsid w:val="00B5769C"/>
    <w:rsid w:val="00B67AC8"/>
    <w:rsid w:val="00B7152B"/>
    <w:rsid w:val="00B728A4"/>
    <w:rsid w:val="00B741C0"/>
    <w:rsid w:val="00B84CE6"/>
    <w:rsid w:val="00B84F26"/>
    <w:rsid w:val="00B85A83"/>
    <w:rsid w:val="00B87B01"/>
    <w:rsid w:val="00B9105B"/>
    <w:rsid w:val="00B9311B"/>
    <w:rsid w:val="00BA1819"/>
    <w:rsid w:val="00BA222D"/>
    <w:rsid w:val="00BA2FEE"/>
    <w:rsid w:val="00BB1C42"/>
    <w:rsid w:val="00BB33D4"/>
    <w:rsid w:val="00BB39F7"/>
    <w:rsid w:val="00BB5FD9"/>
    <w:rsid w:val="00BB6A5C"/>
    <w:rsid w:val="00BC6079"/>
    <w:rsid w:val="00BE0886"/>
    <w:rsid w:val="00BE0B25"/>
    <w:rsid w:val="00BE3639"/>
    <w:rsid w:val="00BE742E"/>
    <w:rsid w:val="00BF27CA"/>
    <w:rsid w:val="00BF7DD1"/>
    <w:rsid w:val="00C0094E"/>
    <w:rsid w:val="00C060D0"/>
    <w:rsid w:val="00C12A7C"/>
    <w:rsid w:val="00C162E8"/>
    <w:rsid w:val="00C20325"/>
    <w:rsid w:val="00C2656C"/>
    <w:rsid w:val="00C26E3E"/>
    <w:rsid w:val="00C2778D"/>
    <w:rsid w:val="00C30DBA"/>
    <w:rsid w:val="00C33E5D"/>
    <w:rsid w:val="00C37D6B"/>
    <w:rsid w:val="00C41B0A"/>
    <w:rsid w:val="00C45E03"/>
    <w:rsid w:val="00C517A9"/>
    <w:rsid w:val="00C5380D"/>
    <w:rsid w:val="00C56225"/>
    <w:rsid w:val="00C61F3A"/>
    <w:rsid w:val="00C63662"/>
    <w:rsid w:val="00C6421E"/>
    <w:rsid w:val="00C64475"/>
    <w:rsid w:val="00C7178F"/>
    <w:rsid w:val="00C74BC4"/>
    <w:rsid w:val="00C80535"/>
    <w:rsid w:val="00C81151"/>
    <w:rsid w:val="00C81C98"/>
    <w:rsid w:val="00C82882"/>
    <w:rsid w:val="00C904E2"/>
    <w:rsid w:val="00C94CAD"/>
    <w:rsid w:val="00CA1AD8"/>
    <w:rsid w:val="00CB0274"/>
    <w:rsid w:val="00CB5C1C"/>
    <w:rsid w:val="00CB7397"/>
    <w:rsid w:val="00CC401A"/>
    <w:rsid w:val="00CC47C2"/>
    <w:rsid w:val="00CC480F"/>
    <w:rsid w:val="00CC71EF"/>
    <w:rsid w:val="00CD3B1C"/>
    <w:rsid w:val="00CD7C4B"/>
    <w:rsid w:val="00CE1B33"/>
    <w:rsid w:val="00CE2E44"/>
    <w:rsid w:val="00CE4866"/>
    <w:rsid w:val="00CF201A"/>
    <w:rsid w:val="00CF2B2B"/>
    <w:rsid w:val="00CF2C18"/>
    <w:rsid w:val="00CF55E3"/>
    <w:rsid w:val="00CF7268"/>
    <w:rsid w:val="00CF7EBE"/>
    <w:rsid w:val="00D0402A"/>
    <w:rsid w:val="00D05256"/>
    <w:rsid w:val="00D12570"/>
    <w:rsid w:val="00D15A1C"/>
    <w:rsid w:val="00D169C4"/>
    <w:rsid w:val="00D20284"/>
    <w:rsid w:val="00D246EB"/>
    <w:rsid w:val="00D25B7F"/>
    <w:rsid w:val="00D27880"/>
    <w:rsid w:val="00D30A86"/>
    <w:rsid w:val="00D43C74"/>
    <w:rsid w:val="00D452D5"/>
    <w:rsid w:val="00D4541C"/>
    <w:rsid w:val="00D46D7E"/>
    <w:rsid w:val="00D5446F"/>
    <w:rsid w:val="00D57883"/>
    <w:rsid w:val="00D57D5F"/>
    <w:rsid w:val="00D61E60"/>
    <w:rsid w:val="00D63DB0"/>
    <w:rsid w:val="00D73EBE"/>
    <w:rsid w:val="00D76927"/>
    <w:rsid w:val="00D814E9"/>
    <w:rsid w:val="00D81DC6"/>
    <w:rsid w:val="00D82D87"/>
    <w:rsid w:val="00D83038"/>
    <w:rsid w:val="00D93452"/>
    <w:rsid w:val="00DA6D7E"/>
    <w:rsid w:val="00DA7A0D"/>
    <w:rsid w:val="00DB2004"/>
    <w:rsid w:val="00DC1233"/>
    <w:rsid w:val="00DC667B"/>
    <w:rsid w:val="00DC6C02"/>
    <w:rsid w:val="00DC6F41"/>
    <w:rsid w:val="00DD2C0A"/>
    <w:rsid w:val="00DD3CAE"/>
    <w:rsid w:val="00DD4582"/>
    <w:rsid w:val="00DD6C57"/>
    <w:rsid w:val="00DD792E"/>
    <w:rsid w:val="00DE16D3"/>
    <w:rsid w:val="00DE2FB3"/>
    <w:rsid w:val="00DE477E"/>
    <w:rsid w:val="00DE5650"/>
    <w:rsid w:val="00DE5AD9"/>
    <w:rsid w:val="00DF5A66"/>
    <w:rsid w:val="00DF5DBA"/>
    <w:rsid w:val="00DF7399"/>
    <w:rsid w:val="00E0048A"/>
    <w:rsid w:val="00E015C7"/>
    <w:rsid w:val="00E0184F"/>
    <w:rsid w:val="00E03C6B"/>
    <w:rsid w:val="00E0552E"/>
    <w:rsid w:val="00E056B6"/>
    <w:rsid w:val="00E057AC"/>
    <w:rsid w:val="00E10A7D"/>
    <w:rsid w:val="00E13244"/>
    <w:rsid w:val="00E24140"/>
    <w:rsid w:val="00E308B7"/>
    <w:rsid w:val="00E30C85"/>
    <w:rsid w:val="00E30CC5"/>
    <w:rsid w:val="00E3325E"/>
    <w:rsid w:val="00E33DEF"/>
    <w:rsid w:val="00E35728"/>
    <w:rsid w:val="00E36094"/>
    <w:rsid w:val="00E37C5B"/>
    <w:rsid w:val="00E40558"/>
    <w:rsid w:val="00E41A45"/>
    <w:rsid w:val="00E5051E"/>
    <w:rsid w:val="00E608A1"/>
    <w:rsid w:val="00E63352"/>
    <w:rsid w:val="00E634B3"/>
    <w:rsid w:val="00E72CE7"/>
    <w:rsid w:val="00E73E2C"/>
    <w:rsid w:val="00E760F3"/>
    <w:rsid w:val="00E77424"/>
    <w:rsid w:val="00E9080C"/>
    <w:rsid w:val="00E92B5E"/>
    <w:rsid w:val="00E97C3E"/>
    <w:rsid w:val="00EA0E50"/>
    <w:rsid w:val="00EA37B3"/>
    <w:rsid w:val="00EA5251"/>
    <w:rsid w:val="00EB7E05"/>
    <w:rsid w:val="00EC0E61"/>
    <w:rsid w:val="00EC18C0"/>
    <w:rsid w:val="00EC467F"/>
    <w:rsid w:val="00EC4951"/>
    <w:rsid w:val="00EC59D5"/>
    <w:rsid w:val="00EC6C0F"/>
    <w:rsid w:val="00ED0B85"/>
    <w:rsid w:val="00ED27C4"/>
    <w:rsid w:val="00ED2F53"/>
    <w:rsid w:val="00ED5D14"/>
    <w:rsid w:val="00ED6C8D"/>
    <w:rsid w:val="00EE0B46"/>
    <w:rsid w:val="00EE2BD7"/>
    <w:rsid w:val="00EF2E20"/>
    <w:rsid w:val="00EF6269"/>
    <w:rsid w:val="00F02D06"/>
    <w:rsid w:val="00F03F7C"/>
    <w:rsid w:val="00F0518F"/>
    <w:rsid w:val="00F070FD"/>
    <w:rsid w:val="00F218CE"/>
    <w:rsid w:val="00F22A0D"/>
    <w:rsid w:val="00F23944"/>
    <w:rsid w:val="00F24359"/>
    <w:rsid w:val="00F36115"/>
    <w:rsid w:val="00F423B9"/>
    <w:rsid w:val="00F434CE"/>
    <w:rsid w:val="00F53198"/>
    <w:rsid w:val="00F54FE6"/>
    <w:rsid w:val="00F65AEC"/>
    <w:rsid w:val="00F66764"/>
    <w:rsid w:val="00F67A49"/>
    <w:rsid w:val="00F718FA"/>
    <w:rsid w:val="00F74EC8"/>
    <w:rsid w:val="00F85E9B"/>
    <w:rsid w:val="00F87B84"/>
    <w:rsid w:val="00F91384"/>
    <w:rsid w:val="00FA7787"/>
    <w:rsid w:val="00FB4829"/>
    <w:rsid w:val="00FC26E3"/>
    <w:rsid w:val="00FC2AC7"/>
    <w:rsid w:val="00FC4460"/>
    <w:rsid w:val="00FC4DE8"/>
    <w:rsid w:val="00FC5C90"/>
    <w:rsid w:val="00FD1894"/>
    <w:rsid w:val="00FE046D"/>
    <w:rsid w:val="00FE10B7"/>
    <w:rsid w:val="00FE1A38"/>
    <w:rsid w:val="00FE2B03"/>
    <w:rsid w:val="00FE601D"/>
    <w:rsid w:val="00FF0ACE"/>
    <w:rsid w:val="00FF4CDD"/>
    <w:rsid w:val="00FF4E21"/>
    <w:rsid w:val="00FF6ADD"/>
    <w:rsid w:val="00FF7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A7015"/>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7787"/>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odrážka první"/>
    <w:basedOn w:val="Normln"/>
    <w:link w:val="OdstavecseseznamemChar"/>
    <w:uiPriority w:val="34"/>
    <w:qFormat/>
    <w:rsid w:val="006F4C45"/>
    <w:pPr>
      <w:ind w:left="720"/>
      <w:contextualSpacing/>
    </w:p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nhideWhenUsed/>
    <w:rsid w:val="004F3509"/>
    <w:rPr>
      <w:color w:val="0000FF"/>
      <w:u w:val="single"/>
    </w:rPr>
  </w:style>
  <w:style w:type="character" w:customStyle="1" w:styleId="OdstavecseseznamemChar">
    <w:name w:val="Odstavec se seznamem Char"/>
    <w:aliases w:val="odrážka první Char"/>
    <w:link w:val="Odstavecseseznamem"/>
    <w:uiPriority w:val="34"/>
    <w:locked/>
    <w:rsid w:val="00A23C05"/>
    <w:rPr>
      <w:rFonts w:ascii="Calibri" w:eastAsia="Calibri" w:hAnsi="Calibri" w:cs="Times New Roman"/>
      <w:kern w:val="2"/>
      <w:lang w:eastAsia="ar-SA"/>
    </w:rPr>
  </w:style>
  <w:style w:type="character" w:styleId="Odkaznakoment">
    <w:name w:val="annotation reference"/>
    <w:basedOn w:val="Standardnpsmoodstavce"/>
    <w:uiPriority w:val="99"/>
    <w:semiHidden/>
    <w:unhideWhenUsed/>
    <w:rsid w:val="00B37D9C"/>
    <w:rPr>
      <w:sz w:val="16"/>
      <w:szCs w:val="16"/>
    </w:rPr>
  </w:style>
  <w:style w:type="paragraph" w:styleId="Textkomente">
    <w:name w:val="annotation text"/>
    <w:basedOn w:val="Normln"/>
    <w:link w:val="TextkomenteChar"/>
    <w:uiPriority w:val="99"/>
    <w:semiHidden/>
    <w:unhideWhenUsed/>
    <w:rsid w:val="00B37D9C"/>
    <w:pPr>
      <w:spacing w:line="240" w:lineRule="auto"/>
    </w:pPr>
    <w:rPr>
      <w:sz w:val="20"/>
      <w:szCs w:val="20"/>
    </w:rPr>
  </w:style>
  <w:style w:type="character" w:customStyle="1" w:styleId="TextkomenteChar">
    <w:name w:val="Text komentáře Char"/>
    <w:basedOn w:val="Standardnpsmoodstavce"/>
    <w:link w:val="Textkomente"/>
    <w:uiPriority w:val="99"/>
    <w:semiHidden/>
    <w:rsid w:val="00B37D9C"/>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B37D9C"/>
    <w:rPr>
      <w:b/>
      <w:bCs/>
    </w:rPr>
  </w:style>
  <w:style w:type="character" w:customStyle="1" w:styleId="PedmtkomenteChar">
    <w:name w:val="Předmět komentáře Char"/>
    <w:basedOn w:val="TextkomenteChar"/>
    <w:link w:val="Pedmtkomente"/>
    <w:uiPriority w:val="99"/>
    <w:semiHidden/>
    <w:rsid w:val="00B37D9C"/>
    <w:rPr>
      <w:rFonts w:ascii="Calibri" w:eastAsia="Calibri" w:hAnsi="Calibri" w:cs="Times New Roman"/>
      <w:b/>
      <w:bCs/>
      <w:kern w:val="2"/>
      <w:sz w:val="20"/>
      <w:szCs w:val="20"/>
      <w:lang w:eastAsia="ar-SA"/>
    </w:rPr>
  </w:style>
  <w:style w:type="paragraph" w:styleId="Revize">
    <w:name w:val="Revision"/>
    <w:hidden/>
    <w:uiPriority w:val="99"/>
    <w:semiHidden/>
    <w:rsid w:val="00CE1B33"/>
    <w:pPr>
      <w:spacing w:after="0" w:line="240" w:lineRule="auto"/>
    </w:pPr>
    <w:rPr>
      <w:rFonts w:ascii="Calibri" w:eastAsia="Calibri" w:hAnsi="Calibri" w:cs="Times New Roman"/>
      <w:kern w:val="2"/>
      <w:lang w:eastAsia="ar-SA"/>
    </w:rPr>
  </w:style>
  <w:style w:type="character" w:styleId="Sledovanodkaz">
    <w:name w:val="FollowedHyperlink"/>
    <w:basedOn w:val="Standardnpsmoodstavce"/>
    <w:uiPriority w:val="99"/>
    <w:semiHidden/>
    <w:unhideWhenUsed/>
    <w:rsid w:val="007756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89657">
      <w:bodyDiv w:val="1"/>
      <w:marLeft w:val="0"/>
      <w:marRight w:val="0"/>
      <w:marTop w:val="0"/>
      <w:marBottom w:val="0"/>
      <w:divBdr>
        <w:top w:val="none" w:sz="0" w:space="0" w:color="auto"/>
        <w:left w:val="none" w:sz="0" w:space="0" w:color="auto"/>
        <w:bottom w:val="none" w:sz="0" w:space="0" w:color="auto"/>
        <w:right w:val="none" w:sz="0" w:space="0" w:color="auto"/>
      </w:divBdr>
    </w:div>
    <w:div w:id="128937708">
      <w:bodyDiv w:val="1"/>
      <w:marLeft w:val="0"/>
      <w:marRight w:val="0"/>
      <w:marTop w:val="0"/>
      <w:marBottom w:val="0"/>
      <w:divBdr>
        <w:top w:val="none" w:sz="0" w:space="0" w:color="auto"/>
        <w:left w:val="none" w:sz="0" w:space="0" w:color="auto"/>
        <w:bottom w:val="none" w:sz="0" w:space="0" w:color="auto"/>
        <w:right w:val="none" w:sz="0" w:space="0" w:color="auto"/>
      </w:divBdr>
    </w:div>
    <w:div w:id="261256402">
      <w:bodyDiv w:val="1"/>
      <w:marLeft w:val="0"/>
      <w:marRight w:val="0"/>
      <w:marTop w:val="0"/>
      <w:marBottom w:val="0"/>
      <w:divBdr>
        <w:top w:val="none" w:sz="0" w:space="0" w:color="auto"/>
        <w:left w:val="none" w:sz="0" w:space="0" w:color="auto"/>
        <w:bottom w:val="none" w:sz="0" w:space="0" w:color="auto"/>
        <w:right w:val="none" w:sz="0" w:space="0" w:color="auto"/>
      </w:divBdr>
    </w:div>
    <w:div w:id="348994411">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6907164">
      <w:bodyDiv w:val="1"/>
      <w:marLeft w:val="0"/>
      <w:marRight w:val="0"/>
      <w:marTop w:val="0"/>
      <w:marBottom w:val="0"/>
      <w:divBdr>
        <w:top w:val="none" w:sz="0" w:space="0" w:color="auto"/>
        <w:left w:val="none" w:sz="0" w:space="0" w:color="auto"/>
        <w:bottom w:val="none" w:sz="0" w:space="0" w:color="auto"/>
        <w:right w:val="none" w:sz="0" w:space="0" w:color="auto"/>
      </w:divBdr>
    </w:div>
    <w:div w:id="438523528">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1010986283">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69036676">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34447645">
      <w:bodyDiv w:val="1"/>
      <w:marLeft w:val="0"/>
      <w:marRight w:val="0"/>
      <w:marTop w:val="0"/>
      <w:marBottom w:val="0"/>
      <w:divBdr>
        <w:top w:val="none" w:sz="0" w:space="0" w:color="auto"/>
        <w:left w:val="none" w:sz="0" w:space="0" w:color="auto"/>
        <w:bottom w:val="none" w:sz="0" w:space="0" w:color="auto"/>
        <w:right w:val="none" w:sz="0" w:space="0" w:color="auto"/>
      </w:divBdr>
    </w:div>
    <w:div w:id="1194272764">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34465796">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299917400">
      <w:bodyDiv w:val="1"/>
      <w:marLeft w:val="0"/>
      <w:marRight w:val="0"/>
      <w:marTop w:val="0"/>
      <w:marBottom w:val="0"/>
      <w:divBdr>
        <w:top w:val="none" w:sz="0" w:space="0" w:color="auto"/>
        <w:left w:val="none" w:sz="0" w:space="0" w:color="auto"/>
        <w:bottom w:val="none" w:sz="0" w:space="0" w:color="auto"/>
        <w:right w:val="none" w:sz="0" w:space="0" w:color="auto"/>
      </w:divBdr>
    </w:div>
    <w:div w:id="1309676465">
      <w:bodyDiv w:val="1"/>
      <w:marLeft w:val="0"/>
      <w:marRight w:val="0"/>
      <w:marTop w:val="0"/>
      <w:marBottom w:val="0"/>
      <w:divBdr>
        <w:top w:val="none" w:sz="0" w:space="0" w:color="auto"/>
        <w:left w:val="none" w:sz="0" w:space="0" w:color="auto"/>
        <w:bottom w:val="none" w:sz="0" w:space="0" w:color="auto"/>
        <w:right w:val="none" w:sz="0" w:space="0" w:color="auto"/>
      </w:divBdr>
    </w:div>
    <w:div w:id="1340886940">
      <w:bodyDiv w:val="1"/>
      <w:marLeft w:val="0"/>
      <w:marRight w:val="0"/>
      <w:marTop w:val="0"/>
      <w:marBottom w:val="0"/>
      <w:divBdr>
        <w:top w:val="none" w:sz="0" w:space="0" w:color="auto"/>
        <w:left w:val="none" w:sz="0" w:space="0" w:color="auto"/>
        <w:bottom w:val="none" w:sz="0" w:space="0" w:color="auto"/>
        <w:right w:val="none" w:sz="0" w:space="0" w:color="auto"/>
      </w:divBdr>
    </w:div>
    <w:div w:id="1396008050">
      <w:bodyDiv w:val="1"/>
      <w:marLeft w:val="0"/>
      <w:marRight w:val="0"/>
      <w:marTop w:val="0"/>
      <w:marBottom w:val="0"/>
      <w:divBdr>
        <w:top w:val="none" w:sz="0" w:space="0" w:color="auto"/>
        <w:left w:val="none" w:sz="0" w:space="0" w:color="auto"/>
        <w:bottom w:val="none" w:sz="0" w:space="0" w:color="auto"/>
        <w:right w:val="none" w:sz="0" w:space="0" w:color="auto"/>
      </w:divBdr>
    </w:div>
    <w:div w:id="1601064449">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50210002">
      <w:bodyDiv w:val="1"/>
      <w:marLeft w:val="0"/>
      <w:marRight w:val="0"/>
      <w:marTop w:val="0"/>
      <w:marBottom w:val="0"/>
      <w:divBdr>
        <w:top w:val="none" w:sz="0" w:space="0" w:color="auto"/>
        <w:left w:val="none" w:sz="0" w:space="0" w:color="auto"/>
        <w:bottom w:val="none" w:sz="0" w:space="0" w:color="auto"/>
        <w:right w:val="none" w:sz="0" w:space="0" w:color="auto"/>
      </w:divBdr>
    </w:div>
    <w:div w:id="1755130086">
      <w:bodyDiv w:val="1"/>
      <w:marLeft w:val="0"/>
      <w:marRight w:val="0"/>
      <w:marTop w:val="0"/>
      <w:marBottom w:val="0"/>
      <w:divBdr>
        <w:top w:val="none" w:sz="0" w:space="0" w:color="auto"/>
        <w:left w:val="none" w:sz="0" w:space="0" w:color="auto"/>
        <w:bottom w:val="none" w:sz="0" w:space="0" w:color="auto"/>
        <w:right w:val="none" w:sz="0" w:space="0" w:color="auto"/>
      </w:divBdr>
    </w:div>
    <w:div w:id="1904410689">
      <w:bodyDiv w:val="1"/>
      <w:marLeft w:val="0"/>
      <w:marRight w:val="0"/>
      <w:marTop w:val="0"/>
      <w:marBottom w:val="0"/>
      <w:divBdr>
        <w:top w:val="none" w:sz="0" w:space="0" w:color="auto"/>
        <w:left w:val="none" w:sz="0" w:space="0" w:color="auto"/>
        <w:bottom w:val="none" w:sz="0" w:space="0" w:color="auto"/>
        <w:right w:val="none" w:sz="0" w:space="0" w:color="auto"/>
      </w:divBdr>
    </w:div>
    <w:div w:id="1960143265">
      <w:bodyDiv w:val="1"/>
      <w:marLeft w:val="0"/>
      <w:marRight w:val="0"/>
      <w:marTop w:val="0"/>
      <w:marBottom w:val="0"/>
      <w:divBdr>
        <w:top w:val="none" w:sz="0" w:space="0" w:color="auto"/>
        <w:left w:val="none" w:sz="0" w:space="0" w:color="auto"/>
        <w:bottom w:val="none" w:sz="0" w:space="0" w:color="auto"/>
        <w:right w:val="none" w:sz="0" w:space="0" w:color="auto"/>
      </w:divBdr>
    </w:div>
    <w:div w:id="2041273537">
      <w:bodyDiv w:val="1"/>
      <w:marLeft w:val="0"/>
      <w:marRight w:val="0"/>
      <w:marTop w:val="0"/>
      <w:marBottom w:val="0"/>
      <w:divBdr>
        <w:top w:val="none" w:sz="0" w:space="0" w:color="auto"/>
        <w:left w:val="none" w:sz="0" w:space="0" w:color="auto"/>
        <w:bottom w:val="none" w:sz="0" w:space="0" w:color="auto"/>
        <w:right w:val="none" w:sz="0" w:space="0" w:color="auto"/>
      </w:divBdr>
    </w:div>
    <w:div w:id="20904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ADF5C-6C2D-421C-98FF-AF55D71B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9293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Ilona Honusová</cp:lastModifiedBy>
  <cp:revision>2</cp:revision>
  <cp:lastPrinted>2020-05-22T11:11:00Z</cp:lastPrinted>
  <dcterms:created xsi:type="dcterms:W3CDTF">2020-05-26T06:26:00Z</dcterms:created>
  <dcterms:modified xsi:type="dcterms:W3CDTF">2020-05-26T06:26:00Z</dcterms:modified>
</cp:coreProperties>
</file>